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13" w:rsidRDefault="00787AE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Validação de método de análise de fibra em detergente ácido (FDA) em amostras </w:t>
      </w:r>
      <w:r w:rsidR="00904DF5">
        <w:rPr>
          <w:rFonts w:ascii="Times New Roman" w:eastAsia="Times New Roman" w:hAnsi="Times New Roman" w:cs="Times New Roman"/>
          <w:b/>
          <w:sz w:val="28"/>
          <w:szCs w:val="28"/>
        </w:rPr>
        <w:t>de braquiária, farelo de soja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4DF5">
        <w:rPr>
          <w:rFonts w:ascii="Times New Roman" w:eastAsia="Times New Roman" w:hAnsi="Times New Roman" w:cs="Times New Roman"/>
          <w:b/>
          <w:sz w:val="28"/>
          <w:szCs w:val="28"/>
        </w:rPr>
        <w:t xml:space="preserve">e DDG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para nutrição animal.</w:t>
      </w:r>
    </w:p>
    <w:p w:rsidR="00A71113" w:rsidRDefault="00A71113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1113" w:rsidRDefault="00787AE0">
      <w:pPr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bookmarkStart w:id="1" w:name="_GoBack"/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Isabella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u w:val="single"/>
        </w:rPr>
        <w:t>Porcionato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Arantes</w:t>
      </w:r>
      <w:r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; Heinrich Moreira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; Mateu</w:t>
      </w:r>
      <w:r w:rsidR="0006378A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Henrique de Souza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Reinivaldo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Sergio Ferraz Junior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Avelardo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Urano de Carvalho Ferreira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</w:p>
    <w:bookmarkEnd w:id="1"/>
    <w:p w:rsidR="00A71113" w:rsidRDefault="00A71113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:rsidR="00A71113" w:rsidRDefault="00787AE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bacharelado em Química com Ênfase  em materiais, Universidade de São Paulo, São Carlos, SP. Estagiária, Embrapa Pecuária Sudeste, São Carlos SP;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isabella.arantes@colaborador.embrapa.br</w:t>
      </w:r>
      <w:proofErr w:type="gramEnd"/>
    </w:p>
    <w:p w:rsidR="00A71113" w:rsidRDefault="00787AE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bacharelado em Química com Ênfase  em materiais, Universidade de São Paulo, São Carlos, SP.</w:t>
      </w:r>
    </w:p>
    <w:p w:rsidR="00A71113" w:rsidRDefault="00787AE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Aluno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de graduação em bacharelado em Química, Universidade Federal de São Carlos, São Carlos, SP.</w:t>
      </w:r>
    </w:p>
    <w:p w:rsidR="00A71113" w:rsidRDefault="00787AE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Analista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da Embrapa Pecuária Sudeste , São Carlos, SP.</w:t>
      </w:r>
    </w:p>
    <w:p w:rsidR="00A71113" w:rsidRDefault="00A7111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A71113" w:rsidRDefault="00A71113">
      <w:pPr>
        <w:jc w:val="both"/>
        <w:rPr>
          <w:rFonts w:ascii="Times New Roman" w:eastAsia="Times New Roman" w:hAnsi="Times New Roman" w:cs="Times New Roman"/>
        </w:rPr>
      </w:pP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quantificação do teor de fibras nos alimentos é extremamente importante para for</w:t>
      </w:r>
      <w:r w:rsidR="00DF3A0F">
        <w:rPr>
          <w:rFonts w:ascii="Times New Roman" w:eastAsia="Times New Roman" w:hAnsi="Times New Roman" w:cs="Times New Roman"/>
        </w:rPr>
        <w:t xml:space="preserve">mulações de dietas dos animais. </w:t>
      </w:r>
      <w:r>
        <w:rPr>
          <w:rFonts w:ascii="Times New Roman" w:eastAsia="Times New Roman" w:hAnsi="Times New Roman" w:cs="Times New Roman"/>
        </w:rPr>
        <w:t>A análise de determinação de fibra utilizando detergente neutro e ácido, proposto p</w:t>
      </w:r>
      <w:r w:rsidR="00DF3A0F">
        <w:rPr>
          <w:rFonts w:ascii="Times New Roman" w:eastAsia="Times New Roman" w:hAnsi="Times New Roman" w:cs="Times New Roman"/>
        </w:rPr>
        <w:t xml:space="preserve">or Van </w:t>
      </w:r>
      <w:proofErr w:type="spellStart"/>
      <w:r w:rsidR="00DF3A0F">
        <w:rPr>
          <w:rFonts w:ascii="Times New Roman" w:eastAsia="Times New Roman" w:hAnsi="Times New Roman" w:cs="Times New Roman"/>
        </w:rPr>
        <w:t>Soest</w:t>
      </w:r>
      <w:proofErr w:type="spellEnd"/>
      <w:r w:rsidR="00DF3A0F">
        <w:rPr>
          <w:rFonts w:ascii="Times New Roman" w:eastAsia="Times New Roman" w:hAnsi="Times New Roman" w:cs="Times New Roman"/>
        </w:rPr>
        <w:t xml:space="preserve">, tem o objetivo </w:t>
      </w:r>
      <w:r>
        <w:rPr>
          <w:rFonts w:ascii="Times New Roman" w:eastAsia="Times New Roman" w:hAnsi="Times New Roman" w:cs="Times New Roman"/>
        </w:rPr>
        <w:t>separar a parte solúvel do conteúdo celular da parede celular, que é insolúvel (</w:t>
      </w:r>
      <w:proofErr w:type="spellStart"/>
      <w:r>
        <w:rPr>
          <w:rFonts w:ascii="Times New Roman" w:eastAsia="Times New Roman" w:hAnsi="Times New Roman" w:cs="Times New Roman"/>
        </w:rPr>
        <w:t>hemicelulose</w:t>
      </w:r>
      <w:proofErr w:type="spellEnd"/>
      <w:r>
        <w:rPr>
          <w:rFonts w:ascii="Times New Roman" w:eastAsia="Times New Roman" w:hAnsi="Times New Roman" w:cs="Times New Roman"/>
        </w:rPr>
        <w:t xml:space="preserve">, celulose, lignina, pectina). Pelo método </w:t>
      </w:r>
      <w:r w:rsidR="00904DF5">
        <w:rPr>
          <w:rFonts w:ascii="Times New Roman" w:eastAsia="Times New Roman" w:hAnsi="Times New Roman" w:cs="Times New Roman"/>
        </w:rPr>
        <w:t xml:space="preserve">adaptado de Van </w:t>
      </w:r>
      <w:proofErr w:type="spellStart"/>
      <w:r w:rsidR="00904DF5">
        <w:rPr>
          <w:rFonts w:ascii="Times New Roman" w:eastAsia="Times New Roman" w:hAnsi="Times New Roman" w:cs="Times New Roman"/>
        </w:rPr>
        <w:t>Soest</w:t>
      </w:r>
      <w:proofErr w:type="spellEnd"/>
      <w:r w:rsidR="00904DF5">
        <w:rPr>
          <w:rFonts w:ascii="Times New Roman" w:eastAsia="Times New Roman" w:hAnsi="Times New Roman" w:cs="Times New Roman"/>
        </w:rPr>
        <w:t xml:space="preserve"> empregando </w:t>
      </w:r>
      <w:r>
        <w:rPr>
          <w:rFonts w:ascii="Times New Roman" w:eastAsia="Times New Roman" w:hAnsi="Times New Roman" w:cs="Times New Roman"/>
        </w:rPr>
        <w:t>“</w:t>
      </w:r>
      <w:proofErr w:type="spellStart"/>
      <w:r w:rsidR="00904DF5">
        <w:rPr>
          <w:rFonts w:ascii="Times New Roman" w:eastAsia="Times New Roman" w:hAnsi="Times New Roman" w:cs="Times New Roman"/>
        </w:rPr>
        <w:t>filter</w:t>
      </w:r>
      <w:proofErr w:type="spellEnd"/>
      <w:r>
        <w:rPr>
          <w:rFonts w:ascii="Times New Roman" w:eastAsia="Times New Roman" w:hAnsi="Times New Roman" w:cs="Times New Roman"/>
        </w:rPr>
        <w:t xml:space="preserve"> Bag</w:t>
      </w:r>
      <w:r w:rsidR="00904DF5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” o detergente ácido, é aquecido </w:t>
      </w:r>
      <w:proofErr w:type="gramStart"/>
      <w:r>
        <w:rPr>
          <w:rFonts w:ascii="Times New Roman" w:eastAsia="Times New Roman" w:hAnsi="Times New Roman" w:cs="Times New Roman"/>
        </w:rPr>
        <w:t>sob pressão</w:t>
      </w:r>
      <w:proofErr w:type="gramEnd"/>
      <w:r>
        <w:rPr>
          <w:rFonts w:ascii="Times New Roman" w:eastAsia="Times New Roman" w:hAnsi="Times New Roman" w:cs="Times New Roman"/>
        </w:rPr>
        <w:t xml:space="preserve"> até 100ºC, em um extrator da marca </w:t>
      </w:r>
      <w:proofErr w:type="spellStart"/>
      <w:r>
        <w:rPr>
          <w:rFonts w:ascii="Times New Roman" w:eastAsia="Times New Roman" w:hAnsi="Times New Roman" w:cs="Times New Roman"/>
        </w:rPr>
        <w:t>Ankon</w:t>
      </w:r>
      <w:proofErr w:type="spellEnd"/>
      <w:r>
        <w:rPr>
          <w:rFonts w:ascii="Times New Roman" w:eastAsia="Times New Roman" w:hAnsi="Times New Roman" w:cs="Times New Roman"/>
        </w:rPr>
        <w:t xml:space="preserve">, as amostras ficam em contato com o detergente, em agitação e aquecimento constante, extraindo assim, todo o conteúdo celular e a </w:t>
      </w:r>
      <w:proofErr w:type="spellStart"/>
      <w:r>
        <w:rPr>
          <w:rFonts w:ascii="Times New Roman" w:eastAsia="Times New Roman" w:hAnsi="Times New Roman" w:cs="Times New Roman"/>
        </w:rPr>
        <w:t>hemicelulose</w:t>
      </w:r>
      <w:proofErr w:type="spellEnd"/>
      <w:r>
        <w:rPr>
          <w:rFonts w:ascii="Times New Roman" w:eastAsia="Times New Roman" w:hAnsi="Times New Roman" w:cs="Times New Roman"/>
        </w:rPr>
        <w:t>, restando apenas celulose e lignina, essa porção é conhecida</w:t>
      </w:r>
      <w:r w:rsidR="00904DF5">
        <w:rPr>
          <w:rFonts w:ascii="Times New Roman" w:eastAsia="Times New Roman" w:hAnsi="Times New Roman" w:cs="Times New Roman"/>
        </w:rPr>
        <w:t xml:space="preserve"> como fibra em detergente ácido</w:t>
      </w:r>
      <w:r w:rsidR="00DF3A0F">
        <w:rPr>
          <w:rFonts w:ascii="Times New Roman" w:eastAsia="Times New Roman" w:hAnsi="Times New Roman" w:cs="Times New Roman"/>
        </w:rPr>
        <w:t xml:space="preserve"> (FDA)</w:t>
      </w:r>
      <w:r w:rsidR="00904DF5">
        <w:rPr>
          <w:rFonts w:ascii="Times New Roman" w:eastAsia="Times New Roman" w:hAnsi="Times New Roman" w:cs="Times New Roman"/>
        </w:rPr>
        <w:t xml:space="preserve"> e representa a fração de fibra de difícil digestão para os ruminantes. </w:t>
      </w:r>
      <w:r w:rsidR="00DF3A0F">
        <w:rPr>
          <w:rFonts w:ascii="Times New Roman" w:eastAsia="Times New Roman" w:hAnsi="Times New Roman" w:cs="Times New Roman"/>
        </w:rPr>
        <w:t>Para</w:t>
      </w:r>
      <w:r w:rsidR="00904DF5">
        <w:rPr>
          <w:rFonts w:ascii="Times New Roman" w:eastAsia="Times New Roman" w:hAnsi="Times New Roman" w:cs="Times New Roman"/>
        </w:rPr>
        <w:t xml:space="preserve"> garantir o desempenho das análises de FDA nas amostras mais empregadas no laboratório, foi realizada a validação parcial do método para os seguintes materiais de referência: braquiária (EPCBO22-81), farelo de soja (EPCBO22-83) e DDG (EPCBO22-86). Os parâmetros de validação </w:t>
      </w:r>
      <w:r w:rsidR="00623F1F">
        <w:rPr>
          <w:rFonts w:ascii="Times New Roman" w:eastAsia="Times New Roman" w:hAnsi="Times New Roman" w:cs="Times New Roman"/>
        </w:rPr>
        <w:t xml:space="preserve">estimados foram </w:t>
      </w:r>
      <w:proofErr w:type="gramStart"/>
      <w:r w:rsidR="00623F1F">
        <w:rPr>
          <w:rFonts w:ascii="Times New Roman" w:eastAsia="Times New Roman" w:hAnsi="Times New Roman" w:cs="Times New Roman"/>
        </w:rPr>
        <w:t>a</w:t>
      </w:r>
      <w:proofErr w:type="gramEnd"/>
      <w:r w:rsidR="00904DF5">
        <w:rPr>
          <w:rFonts w:ascii="Times New Roman" w:eastAsia="Times New Roman" w:hAnsi="Times New Roman" w:cs="Times New Roman"/>
        </w:rPr>
        <w:t xml:space="preserve"> precisão </w:t>
      </w:r>
      <w:proofErr w:type="spellStart"/>
      <w:r w:rsidR="00904DF5">
        <w:rPr>
          <w:rFonts w:ascii="Times New Roman" w:eastAsia="Times New Roman" w:hAnsi="Times New Roman" w:cs="Times New Roman"/>
        </w:rPr>
        <w:t>intracorrida</w:t>
      </w:r>
      <w:proofErr w:type="spellEnd"/>
      <w:r w:rsidR="00904DF5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904DF5">
        <w:rPr>
          <w:rFonts w:ascii="Times New Roman" w:eastAsia="Times New Roman" w:hAnsi="Times New Roman" w:cs="Times New Roman"/>
        </w:rPr>
        <w:t>repetibilidade</w:t>
      </w:r>
      <w:proofErr w:type="spellEnd"/>
      <w:r w:rsidR="00904DF5">
        <w:rPr>
          <w:rFonts w:ascii="Times New Roman" w:eastAsia="Times New Roman" w:hAnsi="Times New Roman" w:cs="Times New Roman"/>
        </w:rPr>
        <w:t xml:space="preserve">), precisão intercorrida (intermediária), acurácia (recuperação) e robustez pelo teste de </w:t>
      </w:r>
      <w:proofErr w:type="spellStart"/>
      <w:r w:rsidR="00904DF5">
        <w:rPr>
          <w:rFonts w:ascii="Times New Roman" w:eastAsia="Times New Roman" w:hAnsi="Times New Roman" w:cs="Times New Roman"/>
        </w:rPr>
        <w:t>Youden</w:t>
      </w:r>
      <w:proofErr w:type="spellEnd"/>
      <w:r w:rsidR="00904DF5">
        <w:rPr>
          <w:rFonts w:ascii="Times New Roman" w:eastAsia="Times New Roman" w:hAnsi="Times New Roman" w:cs="Times New Roman"/>
        </w:rPr>
        <w:t>.</w:t>
      </w:r>
      <w:r w:rsidR="00623F1F">
        <w:rPr>
          <w:rFonts w:ascii="Times New Roman" w:eastAsia="Times New Roman" w:hAnsi="Times New Roman" w:cs="Times New Roman"/>
        </w:rPr>
        <w:t xml:space="preserve"> A fonte dos materiais de referência foi o ensaio de proficiência (EPCBO 12</w:t>
      </w:r>
      <w:r w:rsidR="00623F1F" w:rsidRPr="00623F1F">
        <w:rPr>
          <w:rFonts w:ascii="Times New Roman" w:eastAsia="Times New Roman" w:hAnsi="Times New Roman" w:cs="Times New Roman"/>
          <w:vertAlign w:val="superscript"/>
        </w:rPr>
        <w:t>a</w:t>
      </w:r>
      <w:r w:rsidR="00623F1F">
        <w:rPr>
          <w:rFonts w:ascii="Times New Roman" w:eastAsia="Times New Roman" w:hAnsi="Times New Roman" w:cs="Times New Roman"/>
        </w:rPr>
        <w:t xml:space="preserve">). Os parâmetros de acurácia e precisão foram avaliados em </w:t>
      </w:r>
      <w:proofErr w:type="spellStart"/>
      <w:r w:rsidR="00623F1F">
        <w:rPr>
          <w:rFonts w:ascii="Times New Roman" w:eastAsia="Times New Roman" w:hAnsi="Times New Roman" w:cs="Times New Roman"/>
        </w:rPr>
        <w:t>octuplicatas</w:t>
      </w:r>
      <w:proofErr w:type="spellEnd"/>
      <w:r w:rsidR="00623F1F">
        <w:rPr>
          <w:rFonts w:ascii="Times New Roman" w:eastAsia="Times New Roman" w:hAnsi="Times New Roman" w:cs="Times New Roman"/>
        </w:rPr>
        <w:t xml:space="preserve"> e o teste de robustez de </w:t>
      </w:r>
      <w:proofErr w:type="spellStart"/>
      <w:r w:rsidR="00623F1F">
        <w:rPr>
          <w:rFonts w:ascii="Times New Roman" w:eastAsia="Times New Roman" w:hAnsi="Times New Roman" w:cs="Times New Roman"/>
        </w:rPr>
        <w:t>Youden</w:t>
      </w:r>
      <w:proofErr w:type="spellEnd"/>
      <w:r w:rsidR="00623F1F">
        <w:rPr>
          <w:rFonts w:ascii="Times New Roman" w:eastAsia="Times New Roman" w:hAnsi="Times New Roman" w:cs="Times New Roman"/>
        </w:rPr>
        <w:t xml:space="preserve"> </w:t>
      </w:r>
      <w:proofErr w:type="gramStart"/>
      <w:r w:rsidR="00623F1F">
        <w:rPr>
          <w:rFonts w:ascii="Times New Roman" w:eastAsia="Times New Roman" w:hAnsi="Times New Roman" w:cs="Times New Roman"/>
        </w:rPr>
        <w:t>foram realizados</w:t>
      </w:r>
      <w:proofErr w:type="gramEnd"/>
      <w:r w:rsidR="00623F1F">
        <w:rPr>
          <w:rFonts w:ascii="Times New Roman" w:eastAsia="Times New Roman" w:hAnsi="Times New Roman" w:cs="Times New Roman"/>
        </w:rPr>
        <w:t xml:space="preserve"> em triplicata. O teste de</w:t>
      </w:r>
      <w:r>
        <w:rPr>
          <w:rFonts w:ascii="Times New Roman" w:eastAsia="Times New Roman" w:hAnsi="Times New Roman" w:cs="Times New Roman"/>
        </w:rPr>
        <w:t xml:space="preserve"> robustez refere-se a estimar quanto o método utilizado suporta variações sem alterar a sua exatidão e precisão, e foi realizada </w:t>
      </w:r>
      <w:r w:rsidR="00623F1F">
        <w:rPr>
          <w:rFonts w:ascii="Times New Roman" w:eastAsia="Times New Roman" w:hAnsi="Times New Roman" w:cs="Times New Roman"/>
        </w:rPr>
        <w:t xml:space="preserve">pelo </w:t>
      </w:r>
      <w:r>
        <w:rPr>
          <w:rFonts w:ascii="Times New Roman" w:eastAsia="Times New Roman" w:hAnsi="Times New Roman" w:cs="Times New Roman"/>
        </w:rPr>
        <w:t xml:space="preserve">teste de </w:t>
      </w:r>
      <w:proofErr w:type="spellStart"/>
      <w:r>
        <w:rPr>
          <w:rFonts w:ascii="Times New Roman" w:eastAsia="Times New Roman" w:hAnsi="Times New Roman" w:cs="Times New Roman"/>
        </w:rPr>
        <w:t>Youden</w:t>
      </w:r>
      <w:proofErr w:type="spellEnd"/>
      <w:r>
        <w:rPr>
          <w:rFonts w:ascii="Times New Roman" w:eastAsia="Times New Roman" w:hAnsi="Times New Roman" w:cs="Times New Roman"/>
        </w:rPr>
        <w:t xml:space="preserve">, onde </w:t>
      </w:r>
      <w:proofErr w:type="gramStart"/>
      <w:r w:rsidR="00623F1F">
        <w:rPr>
          <w:rFonts w:ascii="Times New Roman" w:eastAsia="Times New Roman" w:hAnsi="Times New Roman" w:cs="Times New Roman"/>
        </w:rPr>
        <w:t>7</w:t>
      </w:r>
      <w:proofErr w:type="gramEnd"/>
      <w:r w:rsidR="00623F1F">
        <w:rPr>
          <w:rFonts w:ascii="Times New Roman" w:eastAsia="Times New Roman" w:hAnsi="Times New Roman" w:cs="Times New Roman"/>
        </w:rPr>
        <w:t xml:space="preserve"> variáveis foram selecionadas para a realização de </w:t>
      </w:r>
      <w:r>
        <w:rPr>
          <w:rFonts w:ascii="Times New Roman" w:eastAsia="Times New Roman" w:hAnsi="Times New Roman" w:cs="Times New Roman"/>
        </w:rPr>
        <w:t xml:space="preserve">oito experimentos </w:t>
      </w:r>
      <w:r w:rsidR="00623F1F">
        <w:rPr>
          <w:rFonts w:ascii="Times New Roman" w:eastAsia="Times New Roman" w:hAnsi="Times New Roman" w:cs="Times New Roman"/>
        </w:rPr>
        <w:t>para verificar a capacidade do método de gerar resultados confiáveis ainda que haja variações nas condições iniciais destas variáveis. As seguintes variáveis foram selecionadas, pois tinham o potencial de alterar os resultados:</w:t>
      </w:r>
      <w:r>
        <w:rPr>
          <w:rFonts w:ascii="Times New Roman" w:eastAsia="Times New Roman" w:hAnsi="Times New Roman" w:cs="Times New Roman"/>
        </w:rPr>
        <w:t xml:space="preserve"> </w:t>
      </w:r>
      <w:r w:rsidR="00922220">
        <w:rPr>
          <w:rFonts w:ascii="Times New Roman" w:eastAsia="Times New Roman" w:hAnsi="Times New Roman" w:cs="Times New Roman"/>
        </w:rPr>
        <w:t xml:space="preserve">tempo no extrator (60 min.; 65 min.), </w:t>
      </w:r>
      <w:r>
        <w:rPr>
          <w:rFonts w:ascii="Times New Roman" w:eastAsia="Times New Roman" w:hAnsi="Times New Roman" w:cs="Times New Roman"/>
        </w:rPr>
        <w:t>temperatura</w:t>
      </w:r>
      <w:r w:rsidR="00922220">
        <w:rPr>
          <w:rFonts w:ascii="Times New Roman" w:eastAsia="Times New Roman" w:hAnsi="Times New Roman" w:cs="Times New Roman"/>
        </w:rPr>
        <w:t xml:space="preserve"> no extrator (100º C; 105º C)</w:t>
      </w:r>
      <w:r>
        <w:rPr>
          <w:rFonts w:ascii="Times New Roman" w:eastAsia="Times New Roman" w:hAnsi="Times New Roman" w:cs="Times New Roman"/>
        </w:rPr>
        <w:t xml:space="preserve">, </w:t>
      </w:r>
      <w:r w:rsidR="00922220">
        <w:rPr>
          <w:rFonts w:ascii="Times New Roman" w:eastAsia="Times New Roman" w:hAnsi="Times New Roman" w:cs="Times New Roman"/>
        </w:rPr>
        <w:t>quantidade de lavagens (3-2 lavagens); tempo de lavagem (15 min.; 10 min.); Tipo de bolsa filtrante (</w:t>
      </w:r>
      <w:proofErr w:type="spellStart"/>
      <w:r w:rsidR="00922220">
        <w:rPr>
          <w:rFonts w:ascii="Times New Roman" w:eastAsia="Times New Roman" w:hAnsi="Times New Roman" w:cs="Times New Roman"/>
        </w:rPr>
        <w:t>Ankom</w:t>
      </w:r>
      <w:proofErr w:type="spellEnd"/>
      <w:r w:rsidR="00922220">
        <w:rPr>
          <w:rFonts w:ascii="Times New Roman" w:eastAsia="Times New Roman" w:hAnsi="Times New Roman" w:cs="Times New Roman"/>
        </w:rPr>
        <w:t>; TNT); T</w:t>
      </w:r>
      <w:r>
        <w:rPr>
          <w:rFonts w:ascii="Times New Roman" w:eastAsia="Times New Roman" w:hAnsi="Times New Roman" w:cs="Times New Roman"/>
        </w:rPr>
        <w:t xml:space="preserve">empo </w:t>
      </w:r>
      <w:r w:rsidR="00922220">
        <w:rPr>
          <w:rFonts w:ascii="Times New Roman" w:eastAsia="Times New Roman" w:hAnsi="Times New Roman" w:cs="Times New Roman"/>
        </w:rPr>
        <w:t>de permanência no dessecador (antes de 60 min; mais do que 120 minutos) Lavagem com acetona (sim; não)</w:t>
      </w:r>
      <w:r>
        <w:rPr>
          <w:rFonts w:ascii="Times New Roman" w:eastAsia="Times New Roman" w:hAnsi="Times New Roman" w:cs="Times New Roman"/>
        </w:rPr>
        <w:t xml:space="preserve">.  </w:t>
      </w:r>
      <w:r w:rsidR="00922220" w:rsidRPr="0000030F">
        <w:rPr>
          <w:rFonts w:ascii="Times New Roman" w:hAnsi="Times New Roman"/>
          <w:snapToGrid w:val="0"/>
        </w:rPr>
        <w:t xml:space="preserve">Os valores de recuperação </w:t>
      </w:r>
      <w:r w:rsidR="00922220">
        <w:rPr>
          <w:rFonts w:ascii="Times New Roman" w:hAnsi="Times New Roman"/>
          <w:snapToGrid w:val="0"/>
        </w:rPr>
        <w:t xml:space="preserve">obtidos </w:t>
      </w:r>
      <w:r w:rsidR="00922220" w:rsidRPr="0000030F">
        <w:rPr>
          <w:rFonts w:ascii="Times New Roman" w:hAnsi="Times New Roman"/>
          <w:snapToGrid w:val="0"/>
        </w:rPr>
        <w:t xml:space="preserve">para braquiária, farelo de soja e DDG foram, respectivamente, </w:t>
      </w:r>
      <w:r w:rsidR="00922220">
        <w:rPr>
          <w:rFonts w:ascii="Times New Roman" w:hAnsi="Times New Roman"/>
          <w:snapToGrid w:val="0"/>
        </w:rPr>
        <w:t>96,56</w:t>
      </w:r>
      <w:r w:rsidR="00922220" w:rsidRPr="0000030F">
        <w:rPr>
          <w:rFonts w:ascii="Times New Roman" w:hAnsi="Times New Roman"/>
          <w:snapToGrid w:val="0"/>
        </w:rPr>
        <w:t xml:space="preserve">%; </w:t>
      </w:r>
      <w:r w:rsidR="00922220">
        <w:rPr>
          <w:rFonts w:ascii="Times New Roman" w:hAnsi="Times New Roman"/>
          <w:snapToGrid w:val="0"/>
        </w:rPr>
        <w:t>107,09</w:t>
      </w:r>
      <w:r w:rsidR="00922220" w:rsidRPr="0000030F">
        <w:rPr>
          <w:rFonts w:ascii="Times New Roman" w:hAnsi="Times New Roman"/>
          <w:snapToGrid w:val="0"/>
        </w:rPr>
        <w:t xml:space="preserve">% e </w:t>
      </w:r>
      <w:r w:rsidR="00922220">
        <w:rPr>
          <w:rFonts w:ascii="Times New Roman" w:hAnsi="Times New Roman"/>
          <w:snapToGrid w:val="0"/>
        </w:rPr>
        <w:t>100,98</w:t>
      </w:r>
      <w:r w:rsidR="00922220" w:rsidRPr="0000030F">
        <w:rPr>
          <w:rFonts w:ascii="Times New Roman" w:hAnsi="Times New Roman"/>
          <w:snapToGrid w:val="0"/>
        </w:rPr>
        <w:t>%.</w:t>
      </w:r>
      <w:r w:rsidR="00922220">
        <w:rPr>
          <w:rFonts w:ascii="Times New Roman" w:hAnsi="Times New Roman"/>
          <w:snapToGrid w:val="0"/>
        </w:rPr>
        <w:t xml:space="preserve">  Os desvios padrões relativos de </w:t>
      </w:r>
      <w:proofErr w:type="spellStart"/>
      <w:r w:rsidR="00922220">
        <w:rPr>
          <w:rFonts w:ascii="Times New Roman" w:hAnsi="Times New Roman"/>
          <w:snapToGrid w:val="0"/>
        </w:rPr>
        <w:t>repetibilidade</w:t>
      </w:r>
      <w:proofErr w:type="spellEnd"/>
      <w:r w:rsidR="00922220">
        <w:rPr>
          <w:rFonts w:ascii="Times New Roman" w:hAnsi="Times New Roman"/>
          <w:snapToGrid w:val="0"/>
        </w:rPr>
        <w:t xml:space="preserve"> estimados são (braquiária = 1,64%; farelo de soja = 5,01% e DDG = 8,95%). Os desvios padrão de </w:t>
      </w:r>
      <w:proofErr w:type="spellStart"/>
      <w:r w:rsidR="00922220">
        <w:rPr>
          <w:rFonts w:ascii="Times New Roman" w:hAnsi="Times New Roman"/>
          <w:snapToGrid w:val="0"/>
        </w:rPr>
        <w:t>reprodutividade</w:t>
      </w:r>
      <w:proofErr w:type="spellEnd"/>
      <w:r w:rsidR="00922220">
        <w:rPr>
          <w:rFonts w:ascii="Times New Roman" w:hAnsi="Times New Roman"/>
          <w:snapToGrid w:val="0"/>
        </w:rPr>
        <w:t xml:space="preserve"> calculados são (braquiária = 6,31%; farelo de soja = 17,42% e DDG = 10,46%). No teste de robustez de </w:t>
      </w:r>
      <w:proofErr w:type="spellStart"/>
      <w:r w:rsidR="00922220">
        <w:rPr>
          <w:rFonts w:ascii="Times New Roman" w:hAnsi="Times New Roman"/>
          <w:snapToGrid w:val="0"/>
        </w:rPr>
        <w:t>Youden</w:t>
      </w:r>
      <w:proofErr w:type="spellEnd"/>
      <w:r w:rsidR="00922220">
        <w:rPr>
          <w:rFonts w:ascii="Times New Roman" w:hAnsi="Times New Roman"/>
          <w:snapToGrid w:val="0"/>
        </w:rPr>
        <w:t xml:space="preserve">, foram consideradas variáveis com efeitos significativos, </w:t>
      </w:r>
      <w:r w:rsidR="00DF3A0F">
        <w:rPr>
          <w:rFonts w:ascii="Times New Roman" w:hAnsi="Times New Roman"/>
          <w:snapToGrid w:val="0"/>
        </w:rPr>
        <w:t xml:space="preserve">aquelas </w:t>
      </w:r>
      <w:r w:rsidR="00922220">
        <w:rPr>
          <w:rFonts w:ascii="Times New Roman" w:hAnsi="Times New Roman"/>
          <w:snapToGrid w:val="0"/>
        </w:rPr>
        <w:t xml:space="preserve">em que a diferença média dos resultados entre os níveis </w:t>
      </w:r>
      <w:r w:rsidR="00DF3A0F">
        <w:rPr>
          <w:rFonts w:ascii="Times New Roman" w:hAnsi="Times New Roman"/>
          <w:snapToGrid w:val="0"/>
        </w:rPr>
        <w:t>é</w:t>
      </w:r>
      <w:r w:rsidR="00922220">
        <w:rPr>
          <w:rFonts w:ascii="Times New Roman" w:hAnsi="Times New Roman"/>
          <w:snapToGrid w:val="0"/>
        </w:rPr>
        <w:t xml:space="preserve"> superior ao </w:t>
      </w:r>
      <w:r w:rsidR="00DF3A0F">
        <w:rPr>
          <w:rFonts w:ascii="Times New Roman" w:hAnsi="Times New Roman"/>
          <w:snapToGrid w:val="0"/>
        </w:rPr>
        <w:t xml:space="preserve">produto entre o </w:t>
      </w:r>
      <w:r w:rsidR="00922220">
        <w:rPr>
          <w:rFonts w:ascii="Times New Roman" w:hAnsi="Times New Roman"/>
          <w:snapToGrid w:val="0"/>
        </w:rPr>
        <w:t>desvio padrão</w:t>
      </w:r>
      <w:r w:rsidR="00DF3A0F">
        <w:rPr>
          <w:rFonts w:ascii="Times New Roman" w:hAnsi="Times New Roman"/>
          <w:snapToGrid w:val="0"/>
        </w:rPr>
        <w:t xml:space="preserve"> total e a raiz quadrada de dois</w:t>
      </w:r>
      <w:r w:rsidR="00922220">
        <w:rPr>
          <w:rFonts w:ascii="Times New Roman" w:hAnsi="Times New Roman"/>
          <w:snapToGrid w:val="0"/>
        </w:rPr>
        <w:t xml:space="preserve">. </w:t>
      </w:r>
      <w:r w:rsidR="00DF3A0F">
        <w:rPr>
          <w:rFonts w:ascii="Times New Roman" w:hAnsi="Times New Roman"/>
          <w:snapToGrid w:val="0"/>
        </w:rPr>
        <w:t>Nenhuma das variáveis teve efeito significativo, mostrando que o método é robusto.</w:t>
      </w:r>
    </w:p>
    <w:p w:rsidR="00A71113" w:rsidRDefault="00A71113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</w:rPr>
      </w:pP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sz w:val="20"/>
          <w:szCs w:val="20"/>
        </w:rPr>
        <w:t>Nutrição Animal</w:t>
      </w:r>
    </w:p>
    <w:p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="00DF3A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Fibra, Fibra em detergente Ácido, FDN, FDA, precisão intermediária, precisão 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repetibilidade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teste de </w:t>
      </w:r>
      <w:proofErr w:type="spellStart"/>
      <w:proofErr w:type="gramStart"/>
      <w:r w:rsidR="00DF3A0F"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ouden</w:t>
      </w:r>
      <w:proofErr w:type="spellEnd"/>
      <w:proofErr w:type="gramEnd"/>
    </w:p>
    <w:sectPr w:rsidR="00A71113" w:rsidSect="00623F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675" w:rsidRDefault="00393675" w:rsidP="00A71113">
      <w:r>
        <w:separator/>
      </w:r>
    </w:p>
  </w:endnote>
  <w:endnote w:type="continuationSeparator" w:id="0">
    <w:p w:rsidR="00393675" w:rsidRDefault="00393675" w:rsidP="00A7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675" w:rsidRDefault="00393675" w:rsidP="00A71113">
      <w:r>
        <w:separator/>
      </w:r>
    </w:p>
  </w:footnote>
  <w:footnote w:type="continuationSeparator" w:id="0">
    <w:p w:rsidR="00393675" w:rsidRDefault="00393675" w:rsidP="00A71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787A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Anais da 15ª Jornada Científica – Embrapa São Carlos – 22 de agosto de 2023</w:t>
    </w:r>
  </w:p>
  <w:p w:rsidR="00A71113" w:rsidRDefault="00787AE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Embrapa Instrumentação e Embrapa Pecuária Sudeste – São Carlos, SP - </w:t>
    </w:r>
    <w:proofErr w:type="gramStart"/>
    <w:r>
      <w:rPr>
        <w:rFonts w:ascii="Times New Roman" w:eastAsia="Times New Roman" w:hAnsi="Times New Roman" w:cs="Times New Roman"/>
        <w:color w:val="000000"/>
        <w:sz w:val="20"/>
        <w:szCs w:val="20"/>
      </w:rPr>
      <w:t>Brasil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113" w:rsidRDefault="00A711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113"/>
    <w:rsid w:val="000115C3"/>
    <w:rsid w:val="0006378A"/>
    <w:rsid w:val="00393675"/>
    <w:rsid w:val="004C26BF"/>
    <w:rsid w:val="00623F1F"/>
    <w:rsid w:val="00787AE0"/>
    <w:rsid w:val="00904DF5"/>
    <w:rsid w:val="00922220"/>
    <w:rsid w:val="00A63E7E"/>
    <w:rsid w:val="00A71113"/>
    <w:rsid w:val="00CB18F9"/>
    <w:rsid w:val="00DF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1113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1"/>
    <w:next w:val="Normal1"/>
    <w:rsid w:val="00A711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A711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A7111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A711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A711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A71113"/>
  </w:style>
  <w:style w:type="table" w:customStyle="1" w:styleId="TableNormal">
    <w:name w:val="Table Normal"/>
    <w:rsid w:val="00A711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A71113"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Subttulo">
    <w:name w:val="Subtitle"/>
    <w:basedOn w:val="Normal"/>
    <w:next w:val="Normal"/>
    <w:rsid w:val="00A711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KsggYaru0/y0HFYHy0JNFtRHQ==">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cppse</cp:lastModifiedBy>
  <cp:revision>4</cp:revision>
  <dcterms:created xsi:type="dcterms:W3CDTF">2023-06-22T11:26:00Z</dcterms:created>
  <dcterms:modified xsi:type="dcterms:W3CDTF">2023-07-17T14:08:00Z</dcterms:modified>
</cp:coreProperties>
</file>