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77E79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Validação do método de Matéria seca e Matéria mineral: precisão, exatidão e robustez</w:t>
      </w:r>
    </w:p>
    <w:p w14:paraId="00000002" w14:textId="77777777" w:rsidR="00477E79" w:rsidRDefault="00477E79">
      <w:pPr>
        <w:jc w:val="center"/>
        <w:rPr>
          <w:b/>
          <w:sz w:val="28"/>
          <w:szCs w:val="28"/>
        </w:rPr>
      </w:pPr>
    </w:p>
    <w:p w14:paraId="00000003" w14:textId="70323D9C" w:rsidR="00477E79" w:rsidRDefault="00000000">
      <w:pPr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u w:val="single"/>
        </w:rPr>
        <w:t xml:space="preserve">Matheus </w:t>
      </w:r>
      <w:proofErr w:type="spellStart"/>
      <w:r>
        <w:rPr>
          <w:sz w:val="22"/>
          <w:szCs w:val="22"/>
          <w:u w:val="single"/>
        </w:rPr>
        <w:t>Lavorante</w:t>
      </w:r>
      <w:proofErr w:type="spellEnd"/>
      <w:r>
        <w:rPr>
          <w:sz w:val="22"/>
          <w:szCs w:val="22"/>
          <w:u w:val="single"/>
        </w:rPr>
        <w:t xml:space="preserve"> Tietz </w:t>
      </w:r>
      <w:r>
        <w:rPr>
          <w:sz w:val="22"/>
          <w:szCs w:val="22"/>
          <w:u w:val="single"/>
          <w:vertAlign w:val="superscript"/>
        </w:rPr>
        <w:t>1</w:t>
      </w:r>
      <w:r>
        <w:rPr>
          <w:sz w:val="22"/>
          <w:szCs w:val="22"/>
        </w:rPr>
        <w:t>; Mateus Henrique Souza</w:t>
      </w:r>
      <w:r>
        <w:rPr>
          <w:sz w:val="22"/>
          <w:szCs w:val="22"/>
          <w:vertAlign w:val="superscript"/>
        </w:rPr>
        <w:t xml:space="preserve"> 2</w:t>
      </w:r>
      <w:r>
        <w:rPr>
          <w:sz w:val="22"/>
          <w:szCs w:val="22"/>
        </w:rPr>
        <w:t>; Heinrich Moreira</w:t>
      </w:r>
      <w:r w:rsidR="004E4454">
        <w:rPr>
          <w:sz w:val="22"/>
          <w:szCs w:val="22"/>
          <w:vertAlign w:val="superscript"/>
        </w:rPr>
        <w:t>3</w:t>
      </w:r>
      <w:r w:rsidR="004E4454">
        <w:rPr>
          <w:sz w:val="22"/>
          <w:szCs w:val="22"/>
        </w:rPr>
        <w:t xml:space="preserve">; </w:t>
      </w:r>
      <w:proofErr w:type="spellStart"/>
      <w:r w:rsidR="004E4454">
        <w:rPr>
          <w:sz w:val="22"/>
          <w:szCs w:val="22"/>
        </w:rPr>
        <w:t>Jeysse</w:t>
      </w:r>
      <w:proofErr w:type="spellEnd"/>
      <w:r>
        <w:rPr>
          <w:sz w:val="22"/>
          <w:szCs w:val="22"/>
        </w:rPr>
        <w:t xml:space="preserve"> Fatima Duarte</w:t>
      </w:r>
      <w:r>
        <w:rPr>
          <w:sz w:val="22"/>
          <w:szCs w:val="22"/>
          <w:vertAlign w:val="superscript"/>
        </w:rPr>
        <w:t>4</w:t>
      </w:r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Reinivaldo</w:t>
      </w:r>
      <w:proofErr w:type="spellEnd"/>
      <w:r>
        <w:rPr>
          <w:sz w:val="22"/>
          <w:szCs w:val="22"/>
        </w:rPr>
        <w:t xml:space="preserve"> Sergio Ferraz Junior</w:t>
      </w:r>
      <w:r>
        <w:rPr>
          <w:sz w:val="22"/>
          <w:szCs w:val="22"/>
          <w:vertAlign w:val="superscript"/>
        </w:rPr>
        <w:t>5</w:t>
      </w:r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Avelardo</w:t>
      </w:r>
      <w:proofErr w:type="spellEnd"/>
      <w:r>
        <w:rPr>
          <w:sz w:val="22"/>
          <w:szCs w:val="22"/>
        </w:rPr>
        <w:t xml:space="preserve"> Urano de Carvalho Ferreira</w:t>
      </w:r>
      <w:r>
        <w:rPr>
          <w:sz w:val="22"/>
          <w:szCs w:val="22"/>
          <w:vertAlign w:val="superscript"/>
        </w:rPr>
        <w:t>6</w:t>
      </w:r>
    </w:p>
    <w:p w14:paraId="00000004" w14:textId="77777777" w:rsidR="00477E79" w:rsidRDefault="00477E79">
      <w:pPr>
        <w:shd w:val="clear" w:color="auto" w:fill="FFFFFF"/>
        <w:jc w:val="center"/>
      </w:pPr>
    </w:p>
    <w:p w14:paraId="00000005" w14:textId="77777777" w:rsidR="00477E79" w:rsidRDefault="00000000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Aluno de graduação em Bacharel em Química, Universidade de São Paulo, São Carlos, SP. Não Bolsista PIBIC/CNPq, Embrapa Pecuária Sudeste, São Carlos, SP; matheustietz45@gmail.com.</w:t>
      </w:r>
    </w:p>
    <w:p w14:paraId="00000006" w14:textId="77777777" w:rsidR="00477E79" w:rsidRDefault="00000000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Aluno de graduação de bacharelado em química, Universidade Federal de São Carlos, São Carlos - SP.</w:t>
      </w:r>
    </w:p>
    <w:p w14:paraId="00000007" w14:textId="77777777" w:rsidR="00477E79" w:rsidRDefault="00000000">
      <w:pPr>
        <w:rPr>
          <w:sz w:val="18"/>
          <w:szCs w:val="18"/>
        </w:rPr>
      </w:pP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Graduado em Química, Universidade de São Paulo, São Carlos, SP. 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 </w:t>
      </w:r>
      <w:r>
        <w:rPr>
          <w:color w:val="222222"/>
          <w:sz w:val="20"/>
          <w:szCs w:val="20"/>
          <w:highlight w:val="white"/>
        </w:rPr>
        <w:t>CNPq/Embrapa Pecuária Sudeste</w:t>
      </w:r>
    </w:p>
    <w:p w14:paraId="00000008" w14:textId="5E3214A6" w:rsidR="00477E79" w:rsidRDefault="00000000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 xml:space="preserve"> Aluna de graduação em Licenciatura em Química, Universidade Federal de São Carlos, São Carlos - SP. </w:t>
      </w:r>
    </w:p>
    <w:p w14:paraId="00000009" w14:textId="77777777" w:rsidR="00477E79" w:rsidRDefault="00000000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5 6</w:t>
      </w:r>
      <w:r>
        <w:rPr>
          <w:sz w:val="20"/>
          <w:szCs w:val="20"/>
        </w:rPr>
        <w:t>Analista, Embrapa Pecuária Sudeste, São Carlos, SP.</w:t>
      </w:r>
    </w:p>
    <w:p w14:paraId="0000000A" w14:textId="77777777" w:rsidR="00477E79" w:rsidRDefault="00477E79"/>
    <w:p w14:paraId="0000000B" w14:textId="04EFF0BC" w:rsidR="00477E79" w:rsidRPr="006F0151" w:rsidRDefault="00000000">
      <w:r w:rsidRPr="006F0151">
        <w:rPr>
          <w:highlight w:val="white"/>
        </w:rPr>
        <w:t>A determinação da matéria seca (MS) é a fração do alimento descontada a quantidade de umidade presente. O teor de umidade deve ser controlado para a correta armazenagem do alimento e a composição centesimal da amostra é expressa com base no resultado em matéria seca. A determinação de matéria mineral (MM) é a quantidade de material não orgânico presente na amostra, que é obtido a partir das cinzas na amostra que foi queimada em mufla, esta fração inclui os macro e micronutrientes inorgânicos presentes na amostra</w:t>
      </w:r>
      <w:r w:rsidRPr="006F0151">
        <w:t xml:space="preserve">. Este estudo teve três fases para validar o método. Primeiramente foi avaliado a precisão nas condições de repetibilidade, na qual foram realizadas 8 </w:t>
      </w:r>
      <w:proofErr w:type="spellStart"/>
      <w:r w:rsidRPr="006F0151">
        <w:t>replicatas</w:t>
      </w:r>
      <w:proofErr w:type="spellEnd"/>
      <w:r w:rsidRPr="006F0151">
        <w:t xml:space="preserve"> de cada material de referência, sendo esses </w:t>
      </w:r>
      <w:r w:rsidR="006F0151" w:rsidRPr="006F0151">
        <w:t>materiais a</w:t>
      </w:r>
      <w:r w:rsidRPr="006F0151">
        <w:t xml:space="preserve"> </w:t>
      </w:r>
      <w:r w:rsidRPr="006F0151">
        <w:rPr>
          <w:highlight w:val="white"/>
        </w:rPr>
        <w:t>braquiária, farelo de soja e grãos secos de destilaria (DDG), obtidos a partir de rodadas de ensaio de proficiência de análises de nutrição animal (EPCBO 12ª Edição)</w:t>
      </w:r>
      <w:r w:rsidRPr="006F0151">
        <w:t xml:space="preserve">. A primeira análise foi realizada em condições de repetibilidade onde um único analista se envolveu durante todo o processo, utilizando dos mesmos equipamentos, como balança analítica, estufa, dessecador e mufla. Segundamente foi realizado as mesmas </w:t>
      </w:r>
      <w:r w:rsidR="006F0151" w:rsidRPr="006F0151">
        <w:t>duas análises</w:t>
      </w:r>
      <w:r w:rsidRPr="006F0151">
        <w:t xml:space="preserve"> em padrão de precisão intermediária, no qual se utilizou dos mesmos materiais </w:t>
      </w:r>
      <w:r w:rsidR="000F32D5" w:rsidRPr="006F0151">
        <w:t>de referência,</w:t>
      </w:r>
      <w:r w:rsidRPr="006F0151">
        <w:t xml:space="preserve"> porém mais analistas se envolveram durante o processo, variando os dias da semana e os equipamentos utilizados. Por fim foi realizado o teste de </w:t>
      </w:r>
      <w:proofErr w:type="spellStart"/>
      <w:r w:rsidRPr="006F0151">
        <w:t>Youden</w:t>
      </w:r>
      <w:proofErr w:type="spellEnd"/>
      <w:r w:rsidRPr="006F0151">
        <w:t xml:space="preserve">, </w:t>
      </w:r>
      <w:r w:rsidRPr="006F0151">
        <w:rPr>
          <w:highlight w:val="white"/>
        </w:rPr>
        <w:t xml:space="preserve">parâmetro opcional na validação de métodos analíticos </w:t>
      </w:r>
      <w:r w:rsidR="006F0151" w:rsidRPr="006F0151">
        <w:rPr>
          <w:highlight w:val="white"/>
        </w:rPr>
        <w:t>oferecem</w:t>
      </w:r>
      <w:r w:rsidRPr="006F0151">
        <w:rPr>
          <w:highlight w:val="white"/>
        </w:rPr>
        <w:t xml:space="preserve"> uma abordagem sistemática e confiável para avaliar a capacidade de um método resistir a variações nas condições experimentais</w:t>
      </w:r>
      <w:r w:rsidRPr="006F0151">
        <w:t>. Para esse teste sete variáveis foram escolhidas, sendo elas a quantidade de cadinhos em um mesmo dessecador após a secagem da MS (sobrecarregados os dispersos), a quantidade de massa da amostra (</w:t>
      </w:r>
      <w:r w:rsidRPr="006F0151">
        <w:rPr>
          <w:highlight w:val="white"/>
        </w:rPr>
        <w:t>1,0 ou 0,5 g</w:t>
      </w:r>
      <w:r w:rsidRPr="006F0151">
        <w:t>), o tempo no dessecador (</w:t>
      </w:r>
      <w:r w:rsidRPr="006F0151">
        <w:rPr>
          <w:highlight w:val="white"/>
        </w:rPr>
        <w:t>60 min ou &gt; 120 min</w:t>
      </w:r>
      <w:r w:rsidRPr="006F0151">
        <w:t>), tempo na estufa a 105</w:t>
      </w:r>
      <w:r w:rsidRPr="006F0151">
        <w:rPr>
          <w:vertAlign w:val="superscript"/>
        </w:rPr>
        <w:t>0</w:t>
      </w:r>
      <w:r w:rsidRPr="006F0151">
        <w:t>C (6 ou 15 horas), rampa de aquecimento na mufla (570 ou 600</w:t>
      </w:r>
      <w:r w:rsidRPr="006F0151">
        <w:rPr>
          <w:vertAlign w:val="superscript"/>
        </w:rPr>
        <w:t xml:space="preserve"> 0</w:t>
      </w:r>
      <w:r w:rsidRPr="006F0151">
        <w:t xml:space="preserve">C) e tempo de queima (220 ou 250 minutos). Depois da realização dessas análises, os resultados foram descritos em termos de exatidão e precisão. </w:t>
      </w:r>
      <w:sdt>
        <w:sdtPr>
          <w:tag w:val="goog_rdk_0"/>
          <w:id w:val="-1036887652"/>
        </w:sdtPr>
        <w:sdtContent>
          <w:r w:rsidRPr="006F0151">
            <w:rPr>
              <w:rFonts w:eastAsia="Gungsuh"/>
              <w:highlight w:val="white"/>
            </w:rPr>
            <w:t xml:space="preserve">Para a MS os valores de recuperação obtidos para braquiária, farelo de soja e DDG foram, respectivamente, 99,69%; 100,60% e 100,26% e para MM foram, respectivamente 99,43%; 107,59% e 76,39%. Os desvios padrão relativos de precisão intermediária estimados para MS foram 0,46%; 0,38% e 0,37% respectivamente para braquiária, farelo de soja e DDG e para MM foram, respectivamente, 4,90%; 2,35% e 6,30%. Os métodos analisados demonstraram robustez para as condições escolhidas, uma vez que as variáveis com efeitos significativos no teste de </w:t>
          </w:r>
          <w:proofErr w:type="spellStart"/>
          <w:r w:rsidRPr="006F0151">
            <w:rPr>
              <w:rFonts w:eastAsia="Gungsuh"/>
              <w:highlight w:val="white"/>
            </w:rPr>
            <w:t>Youden</w:t>
          </w:r>
          <w:proofErr w:type="spellEnd"/>
          <w:r w:rsidRPr="006F0151">
            <w:rPr>
              <w:rFonts w:eastAsia="Gungsuh"/>
              <w:highlight w:val="white"/>
            </w:rPr>
            <w:t xml:space="preserve"> apresentaram a diferença média dos resultados entre os níveis estudados com valor absoluto superior ao desvio padrão*√2.</w:t>
          </w:r>
        </w:sdtContent>
      </w:sdt>
    </w:p>
    <w:p w14:paraId="0000000C" w14:textId="77777777" w:rsidR="00477E79" w:rsidRDefault="00477E79">
      <w:pPr>
        <w:pBdr>
          <w:top w:val="nil"/>
          <w:left w:val="nil"/>
          <w:bottom w:val="nil"/>
          <w:right w:val="nil"/>
          <w:between w:val="nil"/>
        </w:pBdr>
        <w:rPr>
          <w:highlight w:val="white"/>
        </w:rPr>
      </w:pPr>
    </w:p>
    <w:p w14:paraId="0000000D" w14:textId="77777777" w:rsidR="00477E79" w:rsidRDefault="00477E79">
      <w:pPr>
        <w:pBdr>
          <w:top w:val="nil"/>
          <w:left w:val="nil"/>
          <w:bottom w:val="nil"/>
          <w:right w:val="nil"/>
          <w:between w:val="nil"/>
        </w:pBdr>
        <w:rPr>
          <w:highlight w:val="white"/>
        </w:rPr>
      </w:pPr>
    </w:p>
    <w:p w14:paraId="0000000E" w14:textId="77777777" w:rsidR="00477E7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Apoio financeiro:</w:t>
      </w:r>
      <w:r>
        <w:rPr>
          <w:color w:val="000000"/>
          <w:sz w:val="20"/>
          <w:szCs w:val="20"/>
        </w:rPr>
        <w:t xml:space="preserve"> Embrapa</w:t>
      </w:r>
    </w:p>
    <w:p w14:paraId="0000000F" w14:textId="77777777" w:rsidR="00477E7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Área: </w:t>
      </w:r>
      <w:r>
        <w:rPr>
          <w:color w:val="000000"/>
          <w:sz w:val="20"/>
          <w:szCs w:val="20"/>
        </w:rPr>
        <w:t>Química</w:t>
      </w:r>
    </w:p>
    <w:p w14:paraId="00000010" w14:textId="77777777" w:rsidR="00477E7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Palavras-chave</w:t>
      </w:r>
      <w:r>
        <w:rPr>
          <w:color w:val="000000"/>
          <w:sz w:val="20"/>
          <w:szCs w:val="20"/>
        </w:rPr>
        <w:t xml:space="preserve">: Matéria seca, </w:t>
      </w:r>
      <w:proofErr w:type="spellStart"/>
      <w:r>
        <w:rPr>
          <w:color w:val="000000"/>
          <w:sz w:val="20"/>
          <w:szCs w:val="20"/>
        </w:rPr>
        <w:t>Youden</w:t>
      </w:r>
      <w:proofErr w:type="spellEnd"/>
      <w:r>
        <w:rPr>
          <w:sz w:val="20"/>
          <w:szCs w:val="20"/>
        </w:rPr>
        <w:t>, robustez, repetibilidade</w:t>
      </w:r>
    </w:p>
    <w:sectPr w:rsidR="00477E79" w:rsidSect="006F01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86CA0" w14:textId="77777777" w:rsidR="0000178F" w:rsidRDefault="0000178F">
      <w:r>
        <w:separator/>
      </w:r>
    </w:p>
  </w:endnote>
  <w:endnote w:type="continuationSeparator" w:id="0">
    <w:p w14:paraId="77E4AD0A" w14:textId="77777777" w:rsidR="0000178F" w:rsidRDefault="0000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5" w14:textId="77777777" w:rsidR="00477E79" w:rsidRDefault="00477E79">
    <w:pPr>
      <w:pBdr>
        <w:top w:val="nil"/>
        <w:left w:val="nil"/>
        <w:bottom w:val="nil"/>
        <w:right w:val="nil"/>
        <w:between w:val="nil"/>
      </w:pBdr>
      <w:ind w:hanging="2"/>
      <w:jc w:val="left"/>
      <w:rPr>
        <w:rFonts w:ascii="Open Sans" w:eastAsia="Open Sans" w:hAnsi="Open Sans" w:cs="Open Sans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7" w14:textId="77777777" w:rsidR="00477E79" w:rsidRDefault="00477E79">
    <w:pPr>
      <w:pBdr>
        <w:top w:val="nil"/>
        <w:left w:val="nil"/>
        <w:bottom w:val="nil"/>
        <w:right w:val="nil"/>
        <w:between w:val="nil"/>
      </w:pBdr>
      <w:ind w:hanging="2"/>
      <w:jc w:val="left"/>
      <w:rPr>
        <w:rFonts w:ascii="Open Sans" w:eastAsia="Open Sans" w:hAnsi="Open Sans" w:cs="Open Sans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6" w14:textId="77777777" w:rsidR="00477E79" w:rsidRDefault="00477E79">
    <w:pPr>
      <w:pBdr>
        <w:top w:val="nil"/>
        <w:left w:val="nil"/>
        <w:bottom w:val="nil"/>
        <w:right w:val="nil"/>
        <w:between w:val="nil"/>
      </w:pBdr>
      <w:ind w:hanging="2"/>
      <w:jc w:val="left"/>
      <w:rPr>
        <w:rFonts w:ascii="Open Sans" w:eastAsia="Open Sans" w:hAnsi="Open Sans" w:cs="Open Sans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2A1B7" w14:textId="77777777" w:rsidR="0000178F" w:rsidRDefault="0000178F">
      <w:r>
        <w:separator/>
      </w:r>
    </w:p>
  </w:footnote>
  <w:footnote w:type="continuationSeparator" w:id="0">
    <w:p w14:paraId="703B2976" w14:textId="77777777" w:rsidR="0000178F" w:rsidRDefault="00001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3" w14:textId="77777777" w:rsidR="00477E79" w:rsidRDefault="00477E7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left"/>
      <w:rPr>
        <w:rFonts w:ascii="Open Sans" w:eastAsia="Open Sans" w:hAnsi="Open Sans" w:cs="Open Sans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1" w14:textId="77777777" w:rsidR="00477E7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Anais da 15ª Jornada Científica – Embrapa São Carlos – 22 de agosto de 2023</w:t>
    </w:r>
  </w:p>
  <w:p w14:paraId="00000012" w14:textId="77777777" w:rsidR="00477E79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4" w14:textId="77777777" w:rsidR="00477E79" w:rsidRDefault="00477E7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left"/>
      <w:rPr>
        <w:rFonts w:ascii="Open Sans" w:eastAsia="Open Sans" w:hAnsi="Open Sans" w:cs="Open Sans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E79"/>
    <w:rsid w:val="0000178F"/>
    <w:rsid w:val="000920E3"/>
    <w:rsid w:val="000F32D5"/>
    <w:rsid w:val="00477E79"/>
    <w:rsid w:val="004E4454"/>
    <w:rsid w:val="006F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2E47"/>
  <w15:docId w15:val="{789F5715-1D01-42F1-BB2A-F2D30E5B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OC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OC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 w:hanging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OC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 w:hanging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CommentText">
    <w:name w:val="annotation text"/>
    <w:basedOn w:val="Normal"/>
    <w:link w:val="CommentTextChar"/>
    <w:qFormat/>
    <w:rsid w:val="006D42E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DefaultParagraphFont"/>
    <w:rsid w:val="00D6751D"/>
    <w:rPr>
      <w:color w:val="000000"/>
      <w:position w:val="-1"/>
      <w:sz w:val="20"/>
      <w:szCs w:val="20"/>
    </w:rPr>
  </w:style>
  <w:style w:type="paragraph" w:styleId="Header">
    <w:name w:val="header"/>
    <w:basedOn w:val="Normal"/>
    <w:link w:val="Header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HeaderChar">
    <w:name w:val="Header Char"/>
    <w:basedOn w:val="DefaultParagraphFont"/>
    <w:link w:val="Header"/>
    <w:rsid w:val="00D6751D"/>
    <w:rPr>
      <w:rFonts w:ascii="Univers" w:hAnsi="Univers"/>
      <w:position w:val="-1"/>
    </w:rPr>
  </w:style>
  <w:style w:type="paragraph" w:styleId="Footer">
    <w:name w:val="footer"/>
    <w:basedOn w:val="Normal"/>
    <w:link w:val="FooterChar"/>
    <w:rsid w:val="00D6751D"/>
    <w:pPr>
      <w:suppressAutoHyphens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FooterChar">
    <w:name w:val="Footer Char"/>
    <w:basedOn w:val="DefaultParagraphFont"/>
    <w:link w:val="Footer"/>
    <w:rsid w:val="00D6751D"/>
    <w:rPr>
      <w:color w:val="000000"/>
      <w:position w:val="-1"/>
    </w:rPr>
  </w:style>
  <w:style w:type="paragraph" w:styleId="Caption">
    <w:name w:val="caption"/>
    <w:basedOn w:val="Normal"/>
    <w:next w:val="Normal"/>
    <w:rsid w:val="00D6751D"/>
    <w:pPr>
      <w:suppressAutoHyphens/>
      <w:ind w:leftChars="-1" w:left="-1" w:hangingChars="1" w:hanging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TableofFigures">
    <w:name w:val="table of figures"/>
    <w:basedOn w:val="Normal"/>
    <w:next w:val="Normal"/>
    <w:rsid w:val="00D6751D"/>
    <w:pPr>
      <w:suppressAutoHyphens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character" w:styleId="CommentReference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llowedHyperlink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CommentSubject">
    <w:name w:val="annotation subject"/>
    <w:basedOn w:val="CommentText"/>
    <w:next w:val="CommentText"/>
    <w:link w:val="CommentSubjectChar"/>
    <w:rsid w:val="00D6751D"/>
    <w:pPr>
      <w:spacing w:line="360" w:lineRule="auto"/>
    </w:pPr>
    <w:rPr>
      <w:b/>
      <w:bCs/>
    </w:rPr>
  </w:style>
  <w:style w:type="character" w:customStyle="1" w:styleId="CommentSubjectChar">
    <w:name w:val="Comment Subject Char"/>
    <w:basedOn w:val="TextodecomentrioChar"/>
    <w:link w:val="CommentSubject"/>
    <w:rsid w:val="00D6751D"/>
    <w:rPr>
      <w:b/>
      <w:bCs/>
      <w:color w:val="000000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qFormat/>
    <w:rsid w:val="006D42E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751D"/>
    <w:rPr>
      <w:rFonts w:ascii="Tahoma" w:hAnsi="Tahoma" w:cs="Tahoma"/>
      <w:position w:val="-1"/>
      <w:sz w:val="16"/>
      <w:szCs w:val="16"/>
    </w:rPr>
  </w:style>
  <w:style w:type="paragraph" w:styleId="ListParagraph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Heading1Char">
    <w:name w:val="Heading 1 Char"/>
    <w:basedOn w:val="DefaultParagraphFont"/>
    <w:link w:val="Heading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qFormat/>
    <w:rsid w:val="006D42E4"/>
    <w:pPr>
      <w:suppressAutoHyphens/>
      <w:spacing w:line="276" w:lineRule="auto"/>
      <w:ind w:leftChars="-1" w:left="-1" w:hangingChars="1" w:hanging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FootnoteText">
    <w:name w:val="footnote text"/>
    <w:basedOn w:val="Normal"/>
    <w:link w:val="FootnoteTextChar"/>
    <w:qFormat/>
    <w:rsid w:val="006D42E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FootnoteTextChar">
    <w:name w:val="Footnote Text Char"/>
    <w:basedOn w:val="DefaultParagraphFont"/>
    <w:link w:val="FootnoteText"/>
    <w:rsid w:val="006D42E4"/>
    <w:rPr>
      <w:rFonts w:ascii="Univers" w:hAnsi="Univers"/>
      <w:position w:val="-1"/>
      <w:sz w:val="20"/>
    </w:rPr>
  </w:style>
  <w:style w:type="character" w:customStyle="1" w:styleId="CommentTextChar">
    <w:name w:val="Comment Text Char"/>
    <w:basedOn w:val="DefaultParagraphFont"/>
    <w:link w:val="CommentText"/>
    <w:rsid w:val="006D42E4"/>
    <w:rPr>
      <w:rFonts w:ascii="Univers" w:hAnsi="Univers"/>
      <w:position w:val="-1"/>
      <w:sz w:val="20"/>
    </w:rPr>
  </w:style>
  <w:style w:type="character" w:styleId="FootnoteReference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BodyTextIndent3">
    <w:name w:val="Body Text Indent 3"/>
    <w:basedOn w:val="Normal"/>
    <w:link w:val="BodyTextIndent3Char"/>
    <w:qFormat/>
    <w:rsid w:val="006D42E4"/>
    <w:pPr>
      <w:suppressAutoHyphens/>
      <w:spacing w:after="120" w:line="1" w:lineRule="atLeast"/>
      <w:ind w:leftChars="-1" w:left="283" w:hangingChars="1" w:hanging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D42E4"/>
    <w:rPr>
      <w:rFonts w:ascii="Univers" w:hAnsi="Univers"/>
      <w:position w:val="-1"/>
      <w:sz w:val="16"/>
      <w:szCs w:val="16"/>
    </w:rPr>
  </w:style>
  <w:style w:type="paragraph" w:styleId="BodyText">
    <w:name w:val="Body Text"/>
    <w:basedOn w:val="Normal"/>
    <w:link w:val="BodyTextChar"/>
    <w:semiHidden/>
    <w:rsid w:val="00F61E4E"/>
    <w:pPr>
      <w:spacing w:line="360" w:lineRule="auto"/>
    </w:pPr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F61E4E"/>
    <w:rPr>
      <w:rFonts w:ascii="Arial" w:eastAsia="Times New Roman" w:hAnsi="Arial" w:cs="Times New Roman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053EE"/>
  </w:style>
  <w:style w:type="character" w:styleId="UnresolvedMention">
    <w:name w:val="Unresolved Mention"/>
    <w:basedOn w:val="DefaultParagraphFont"/>
    <w:uiPriority w:val="99"/>
    <w:semiHidden/>
    <w:unhideWhenUsed/>
    <w:rsid w:val="00FD5E7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jQZOgxlFZcAASnQi1zynf1E7XA==">CgMxLjAaFAoBMBIPCg0IB0IJEgdHdW5nc3VoOAByITFmTDNueTJDbXljQWlGaWtBdXdSZEJUZUhvXy11ZHFBVQ==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Thales Silva</cp:lastModifiedBy>
  <cp:revision>5</cp:revision>
  <dcterms:created xsi:type="dcterms:W3CDTF">2023-07-20T23:56:00Z</dcterms:created>
  <dcterms:modified xsi:type="dcterms:W3CDTF">2023-07-20T23:57:00Z</dcterms:modified>
</cp:coreProperties>
</file>