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7E" w:rsidRDefault="00DA1F7E" w:rsidP="00B90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Dos acordos voluntários à legislação: </w:t>
      </w:r>
      <w:r w:rsidR="008A5F15">
        <w:rPr>
          <w:rFonts w:ascii="Times New Roman" w:hAnsi="Times New Roman" w:cs="Times New Roman"/>
          <w:b/>
          <w:sz w:val="28"/>
          <w:szCs w:val="28"/>
        </w:rPr>
        <w:br/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 trajetória da política de rotulagem nutricional</w:t>
      </w:r>
      <w:r w:rsidR="00611C35">
        <w:rPr>
          <w:rFonts w:ascii="Times New Roman" w:hAnsi="Times New Roman" w:cs="Times New Roman"/>
          <w:b/>
          <w:sz w:val="28"/>
          <w:szCs w:val="28"/>
        </w:rPr>
        <w:t xml:space="preserve"> frontal</w:t>
      </w:r>
      <w:r>
        <w:rPr>
          <w:rFonts w:ascii="Times New Roman" w:hAnsi="Times New Roman" w:cs="Times New Roman"/>
          <w:b/>
          <w:sz w:val="28"/>
          <w:szCs w:val="28"/>
        </w:rPr>
        <w:t xml:space="preserve"> brasileira</w:t>
      </w:r>
    </w:p>
    <w:p w:rsidR="00501430" w:rsidRDefault="00501430" w:rsidP="00B90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D30" w:rsidRDefault="00F91E72" w:rsidP="00B9067E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 w:rsidRPr="00F91E72">
        <w:rPr>
          <w:rFonts w:ascii="Times New Roman" w:hAnsi="Times New Roman" w:cs="Times New Roman"/>
          <w:u w:val="single"/>
        </w:rPr>
        <w:t>Manoela Heloisa Faria Pereira</w:t>
      </w:r>
      <w:r w:rsidR="008D34E3" w:rsidRPr="008D34E3">
        <w:rPr>
          <w:rFonts w:ascii="Times New Roman" w:hAnsi="Times New Roman" w:cs="Times New Roman"/>
          <w:u w:val="single"/>
          <w:vertAlign w:val="superscript"/>
        </w:rPr>
        <w:t>1</w:t>
      </w:r>
      <w:r w:rsidR="008D34E3">
        <w:rPr>
          <w:rFonts w:ascii="Times New Roman" w:hAnsi="Times New Roman" w:cs="Times New Roman"/>
        </w:rPr>
        <w:t xml:space="preserve">; </w:t>
      </w:r>
      <w:r w:rsidR="000416B4">
        <w:rPr>
          <w:rFonts w:ascii="Times New Roman" w:hAnsi="Times New Roman" w:cs="Times New Roman"/>
        </w:rPr>
        <w:t>Marcela de Mello Brandão Vinholis</w:t>
      </w:r>
      <w:r w:rsidR="00A77D6E">
        <w:rPr>
          <w:rFonts w:ascii="Times New Roman" w:hAnsi="Times New Roman" w:cs="Times New Roman"/>
          <w:vertAlign w:val="superscript"/>
        </w:rPr>
        <w:t>2</w:t>
      </w:r>
      <w:r w:rsidR="000416B4">
        <w:rPr>
          <w:rFonts w:ascii="Times New Roman" w:hAnsi="Times New Roman" w:cs="Times New Roman"/>
        </w:rPr>
        <w:t xml:space="preserve">; </w:t>
      </w:r>
      <w:r w:rsidR="008A5F15">
        <w:rPr>
          <w:rFonts w:ascii="Times New Roman" w:hAnsi="Times New Roman" w:cs="Times New Roman"/>
        </w:rPr>
        <w:br/>
      </w:r>
      <w:r w:rsidR="008D34E3" w:rsidRPr="003377F4">
        <w:rPr>
          <w:rFonts w:ascii="Times New Roman" w:hAnsi="Times New Roman" w:cs="Times New Roman"/>
        </w:rPr>
        <w:t xml:space="preserve">Paula </w:t>
      </w:r>
      <w:r w:rsidR="00A77D6E" w:rsidRPr="003377F4">
        <w:rPr>
          <w:rFonts w:ascii="Times New Roman" w:hAnsi="Times New Roman" w:cs="Times New Roman"/>
        </w:rPr>
        <w:t>Schnaider</w:t>
      </w:r>
      <w:r w:rsidR="00A77D6E">
        <w:rPr>
          <w:rFonts w:ascii="Times New Roman" w:hAnsi="Times New Roman" w:cs="Times New Roman"/>
          <w:vertAlign w:val="superscript"/>
        </w:rPr>
        <w:t>3</w:t>
      </w:r>
      <w:r w:rsidR="00A77D6E" w:rsidRPr="00A77D6E">
        <w:rPr>
          <w:rFonts w:ascii="Times New Roman" w:hAnsi="Times New Roman" w:cs="Times New Roman"/>
        </w:rPr>
        <w:t xml:space="preserve">; </w:t>
      </w:r>
      <w:r w:rsidR="00A77D6E">
        <w:rPr>
          <w:rFonts w:ascii="Times New Roman" w:hAnsi="Times New Roman" w:cs="Times New Roman"/>
        </w:rPr>
        <w:t>Vivian Lara Silva</w:t>
      </w:r>
      <w:r w:rsidR="00A77D6E" w:rsidRPr="00A77D6E">
        <w:rPr>
          <w:rFonts w:ascii="Times New Roman" w:hAnsi="Times New Roman" w:cs="Times New Roman"/>
          <w:vertAlign w:val="superscript"/>
        </w:rPr>
        <w:t>4</w:t>
      </w:r>
      <w:r w:rsidR="00A805D1" w:rsidRPr="003377F4">
        <w:rPr>
          <w:rFonts w:ascii="Times New Roman" w:hAnsi="Times New Roman" w:cs="Times New Roman"/>
        </w:rPr>
        <w:t>.</w:t>
      </w:r>
    </w:p>
    <w:p w:rsidR="00501430" w:rsidRDefault="00501430" w:rsidP="00B90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6B4" w:rsidRDefault="00E351CC" w:rsidP="00B906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127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aluna</w:t>
      </w:r>
      <w:r w:rsidR="00B9067E">
        <w:rPr>
          <w:rFonts w:ascii="Times New Roman" w:hAnsi="Times New Roman" w:cs="Times New Roman"/>
          <w:sz w:val="20"/>
          <w:szCs w:val="20"/>
        </w:rPr>
        <w:t xml:space="preserve"> de g</w:t>
      </w:r>
      <w:r w:rsidR="000416B4">
        <w:rPr>
          <w:rFonts w:ascii="Times New Roman" w:hAnsi="Times New Roman" w:cs="Times New Roman"/>
          <w:sz w:val="20"/>
          <w:szCs w:val="20"/>
        </w:rPr>
        <w:t>radua</w:t>
      </w:r>
      <w:r w:rsidR="00B9067E">
        <w:rPr>
          <w:rFonts w:ascii="Times New Roman" w:hAnsi="Times New Roman" w:cs="Times New Roman"/>
          <w:sz w:val="20"/>
          <w:szCs w:val="20"/>
        </w:rPr>
        <w:t>ção</w:t>
      </w:r>
      <w:r w:rsidR="008D34E3" w:rsidRPr="002D127D">
        <w:rPr>
          <w:rFonts w:ascii="Times New Roman" w:hAnsi="Times New Roman" w:cs="Times New Roman"/>
          <w:sz w:val="20"/>
          <w:szCs w:val="20"/>
        </w:rPr>
        <w:t xml:space="preserve"> em Engenharia de Alimentos</w:t>
      </w:r>
      <w:r w:rsidR="00C915A1" w:rsidRPr="002D127D">
        <w:rPr>
          <w:rFonts w:ascii="Times New Roman" w:hAnsi="Times New Roman" w:cs="Times New Roman"/>
          <w:sz w:val="20"/>
          <w:szCs w:val="20"/>
        </w:rPr>
        <w:t xml:space="preserve">, </w:t>
      </w:r>
      <w:r w:rsidR="00B27E7E">
        <w:rPr>
          <w:rFonts w:ascii="Times New Roman" w:hAnsi="Times New Roman" w:cs="Times New Roman"/>
          <w:sz w:val="20"/>
          <w:szCs w:val="20"/>
        </w:rPr>
        <w:t>FZEA, USP</w:t>
      </w:r>
      <w:r w:rsidR="0088278A">
        <w:rPr>
          <w:rFonts w:ascii="Times New Roman" w:hAnsi="Times New Roman" w:cs="Times New Roman"/>
          <w:sz w:val="20"/>
          <w:szCs w:val="20"/>
        </w:rPr>
        <w:t>,</w:t>
      </w:r>
      <w:r w:rsidR="00F6055F" w:rsidRPr="002D127D">
        <w:rPr>
          <w:rFonts w:ascii="Times New Roman" w:hAnsi="Times New Roman" w:cs="Times New Roman"/>
          <w:sz w:val="20"/>
          <w:szCs w:val="20"/>
        </w:rPr>
        <w:t xml:space="preserve"> Pirassununga, SP. </w:t>
      </w:r>
      <w:r w:rsidR="00C915A1" w:rsidRPr="002D127D">
        <w:rPr>
          <w:rFonts w:ascii="Times New Roman" w:hAnsi="Times New Roman" w:cs="Times New Roman"/>
          <w:sz w:val="20"/>
          <w:szCs w:val="20"/>
        </w:rPr>
        <w:t xml:space="preserve">Bolsista </w:t>
      </w:r>
      <w:r w:rsidR="003377F4">
        <w:rPr>
          <w:rFonts w:ascii="Times New Roman" w:hAnsi="Times New Roman" w:cs="Times New Roman"/>
          <w:sz w:val="20"/>
          <w:szCs w:val="20"/>
        </w:rPr>
        <w:t>CNPq</w:t>
      </w:r>
      <w:r w:rsidR="00B9067E">
        <w:rPr>
          <w:rFonts w:ascii="Times New Roman" w:hAnsi="Times New Roman" w:cs="Times New Roman"/>
          <w:sz w:val="20"/>
          <w:szCs w:val="20"/>
        </w:rPr>
        <w:t>, Embrapa Pecuária Sudeste, São Carlos, SP;</w:t>
      </w:r>
      <w:hyperlink r:id="rId7" w:history="1">
        <w:r w:rsidR="00B9067E" w:rsidRPr="004F3811">
          <w:rPr>
            <w:rStyle w:val="Hyperlink"/>
            <w:rFonts w:ascii="Times New Roman" w:hAnsi="Times New Roman" w:cs="Times New Roman"/>
            <w:sz w:val="20"/>
            <w:szCs w:val="20"/>
          </w:rPr>
          <w:t>manoelafariapereira@gmail.com</w:t>
        </w:r>
      </w:hyperlink>
      <w:r w:rsidR="00F6055F" w:rsidRPr="002D127D">
        <w:rPr>
          <w:rFonts w:ascii="Times New Roman" w:hAnsi="Times New Roman" w:cs="Times New Roman"/>
          <w:sz w:val="20"/>
          <w:szCs w:val="20"/>
        </w:rPr>
        <w:t>.</w:t>
      </w:r>
    </w:p>
    <w:p w:rsidR="00A77D6E" w:rsidRDefault="00E351CC" w:rsidP="00A77D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9067E">
        <w:rPr>
          <w:rFonts w:ascii="Times New Roman" w:hAnsi="Times New Roman" w:cs="Times New Roman"/>
          <w:sz w:val="20"/>
          <w:szCs w:val="20"/>
        </w:rPr>
        <w:t>pesquisadora</w:t>
      </w:r>
      <w:r w:rsidR="00A77D6E" w:rsidRPr="00B9067E">
        <w:rPr>
          <w:rFonts w:ascii="Times New Roman" w:hAnsi="Times New Roman" w:cs="Times New Roman"/>
          <w:sz w:val="20"/>
          <w:szCs w:val="20"/>
        </w:rPr>
        <w:t xml:space="preserve"> da</w:t>
      </w:r>
      <w:r w:rsidR="00A77D6E" w:rsidRPr="002D127D">
        <w:rPr>
          <w:rFonts w:ascii="Times New Roman" w:hAnsi="Times New Roman" w:cs="Times New Roman"/>
          <w:sz w:val="20"/>
          <w:szCs w:val="20"/>
        </w:rPr>
        <w:t>Embrapa Pecuária Sudeste, São Carlos, SP.</w:t>
      </w:r>
    </w:p>
    <w:p w:rsidR="00A77D6E" w:rsidRDefault="00E351CC" w:rsidP="00A77D6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professora</w:t>
      </w:r>
      <w:r w:rsidR="00A77D6E">
        <w:rPr>
          <w:rFonts w:ascii="Times New Roman" w:hAnsi="Times New Roman" w:cs="Times New Roman"/>
          <w:sz w:val="20"/>
          <w:szCs w:val="20"/>
        </w:rPr>
        <w:t xml:space="preserve"> do </w:t>
      </w:r>
      <w:r w:rsidR="00A77D6E" w:rsidRPr="003377F4">
        <w:rPr>
          <w:rFonts w:ascii="Times New Roman" w:hAnsi="Times New Roman" w:cs="Times New Roman"/>
          <w:sz w:val="20"/>
          <w:szCs w:val="20"/>
        </w:rPr>
        <w:t>Departamento</w:t>
      </w:r>
      <w:r w:rsidR="00A77D6E">
        <w:rPr>
          <w:rFonts w:ascii="Times New Roman" w:hAnsi="Times New Roman" w:cs="Times New Roman"/>
          <w:sz w:val="20"/>
          <w:szCs w:val="20"/>
        </w:rPr>
        <w:t xml:space="preserve"> de A</w:t>
      </w:r>
      <w:r w:rsidR="00A77D6E" w:rsidRPr="003377F4">
        <w:rPr>
          <w:rFonts w:ascii="Times New Roman" w:hAnsi="Times New Roman" w:cs="Times New Roman"/>
          <w:sz w:val="20"/>
          <w:szCs w:val="20"/>
        </w:rPr>
        <w:t>dministração</w:t>
      </w:r>
      <w:r w:rsidR="00A77D6E">
        <w:rPr>
          <w:rFonts w:ascii="Times New Roman" w:hAnsi="Times New Roman" w:cs="Times New Roman"/>
          <w:sz w:val="20"/>
          <w:szCs w:val="20"/>
        </w:rPr>
        <w:t>, FEA, USP, São Paulo, SP.</w:t>
      </w:r>
    </w:p>
    <w:p w:rsidR="00A77D6E" w:rsidRDefault="00E351CC" w:rsidP="00A77D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77F4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z w:val="20"/>
          <w:szCs w:val="20"/>
        </w:rPr>
        <w:t>professora</w:t>
      </w:r>
      <w:r w:rsidR="00A77D6E">
        <w:rPr>
          <w:rFonts w:ascii="Times New Roman" w:hAnsi="Times New Roman" w:cs="Times New Roman"/>
          <w:sz w:val="20"/>
          <w:szCs w:val="20"/>
        </w:rPr>
        <w:t xml:space="preserve"> do </w:t>
      </w:r>
      <w:r w:rsidR="00A77D6E" w:rsidRPr="002D127D">
        <w:rPr>
          <w:rFonts w:ascii="Times New Roman" w:hAnsi="Times New Roman" w:cs="Times New Roman"/>
          <w:sz w:val="20"/>
          <w:szCs w:val="20"/>
        </w:rPr>
        <w:t xml:space="preserve">Departamento de Engenharia de Alimentos, </w:t>
      </w:r>
      <w:r w:rsidR="00A77D6E">
        <w:rPr>
          <w:rFonts w:ascii="Times New Roman" w:hAnsi="Times New Roman" w:cs="Times New Roman"/>
          <w:sz w:val="20"/>
          <w:szCs w:val="20"/>
        </w:rPr>
        <w:t>FZEA, USP</w:t>
      </w:r>
      <w:r w:rsidR="00A77D6E" w:rsidRPr="002D127D">
        <w:rPr>
          <w:rFonts w:ascii="Times New Roman" w:hAnsi="Times New Roman" w:cs="Times New Roman"/>
          <w:sz w:val="20"/>
          <w:szCs w:val="20"/>
        </w:rPr>
        <w:t>, Pirassununga, SP.</w:t>
      </w:r>
    </w:p>
    <w:p w:rsidR="00DD5986" w:rsidRDefault="009A16A7" w:rsidP="00DD5986">
      <w:pPr>
        <w:pStyle w:val="NormalWeb"/>
        <w:spacing w:before="240" w:beforeAutospacing="0" w:after="0" w:afterAutospacing="0"/>
        <w:jc w:val="both"/>
        <w:rPr>
          <w:color w:val="222222"/>
        </w:rPr>
      </w:pPr>
      <w:bookmarkStart w:id="0" w:name="_GoBack"/>
      <w:bookmarkEnd w:id="0"/>
      <w:r w:rsidRPr="00DD5986">
        <w:rPr>
          <w:color w:val="222222"/>
        </w:rPr>
        <w:t xml:space="preserve">Altas taxas de doenças crônicas não transmissíveis despertaram discussões no âmbito nacional e internacional quanto à composição de alimentos, o consumo excessivo de sódio, açúcar e gordura e </w:t>
      </w:r>
      <w:r w:rsidR="00DD5986">
        <w:rPr>
          <w:color w:val="222222"/>
        </w:rPr>
        <w:t xml:space="preserve">quanto aos </w:t>
      </w:r>
      <w:r w:rsidRPr="00DD5986">
        <w:rPr>
          <w:color w:val="222222"/>
        </w:rPr>
        <w:t xml:space="preserve">mecanismos regulatórios. Esta pesquisa tem por objetivo elaborar uma linha do tempo com os eventos e os atores envolvidos na construção do ambiente institucional e regulatório brasileiro para a rotulagem nutricional frontal. </w:t>
      </w:r>
      <w:r w:rsidR="000F0DCF" w:rsidRPr="00DD5986">
        <w:rPr>
          <w:color w:val="222222"/>
        </w:rPr>
        <w:t>Pesquisas bibliográficas em websites oficiais do governo, de associações e empresas de alimentos e de revistas especializadas forneceram</w:t>
      </w:r>
      <w:r w:rsidRPr="00DD5986">
        <w:rPr>
          <w:color w:val="222222"/>
        </w:rPr>
        <w:t xml:space="preserve"> documentos regulatórios, artigos e relatórios técnicos e artigos científicos para a análise qualitativa. Em 1999, instituiu-se a Política Nacional de Alimentação e Nutrição (PNAN) com diretrizes para o direito à saúde e à alimentação. </w:t>
      </w:r>
      <w:r w:rsidR="002235D4">
        <w:rPr>
          <w:color w:val="222222"/>
        </w:rPr>
        <w:t xml:space="preserve">Em 2000, </w:t>
      </w:r>
      <w:r w:rsidR="00CA1E45" w:rsidRPr="00DD5986">
        <w:rPr>
          <w:color w:val="222222"/>
        </w:rPr>
        <w:t xml:space="preserve">Resolução da Diretoria </w:t>
      </w:r>
      <w:r w:rsidR="000F0DCF" w:rsidRPr="00DD5986">
        <w:rPr>
          <w:color w:val="222222"/>
        </w:rPr>
        <w:t>Colegiada</w:t>
      </w:r>
      <w:r w:rsidR="000F0DCF">
        <w:rPr>
          <w:color w:val="222222"/>
        </w:rPr>
        <w:t xml:space="preserve"> (</w:t>
      </w:r>
      <w:r w:rsidR="00CA1E45">
        <w:rPr>
          <w:color w:val="222222"/>
        </w:rPr>
        <w:t xml:space="preserve">RDC) </w:t>
      </w:r>
      <w:r w:rsidR="002235D4">
        <w:rPr>
          <w:color w:val="222222"/>
        </w:rPr>
        <w:t>94</w:t>
      </w:r>
      <w:r w:rsidR="00CA1E45">
        <w:rPr>
          <w:color w:val="222222"/>
        </w:rPr>
        <w:t>/2000</w:t>
      </w:r>
      <w:r w:rsidR="002235D4">
        <w:rPr>
          <w:color w:val="222222"/>
        </w:rPr>
        <w:t xml:space="preserve"> a</w:t>
      </w:r>
      <w:r w:rsidR="0045216E">
        <w:rPr>
          <w:color w:val="222222"/>
        </w:rPr>
        <w:t>provou</w:t>
      </w:r>
      <w:r w:rsidR="002235D4" w:rsidRPr="002235D4">
        <w:rPr>
          <w:color w:val="222222"/>
        </w:rPr>
        <w:t xml:space="preserve"> o regulamento técnico para rotulagem nutricional de alimentos e bebidas </w:t>
      </w:r>
      <w:r w:rsidR="000F0DCF" w:rsidRPr="002235D4">
        <w:rPr>
          <w:color w:val="222222"/>
        </w:rPr>
        <w:t>embalados</w:t>
      </w:r>
      <w:r w:rsidR="000F0DCF">
        <w:rPr>
          <w:color w:val="222222"/>
        </w:rPr>
        <w:t xml:space="preserve">. </w:t>
      </w:r>
      <w:r w:rsidR="002235D4">
        <w:rPr>
          <w:color w:val="222222"/>
        </w:rPr>
        <w:t>Es</w:t>
      </w:r>
      <w:r w:rsidR="007C7431">
        <w:rPr>
          <w:color w:val="222222"/>
        </w:rPr>
        <w:t>ta</w:t>
      </w:r>
      <w:r w:rsidR="002235D4">
        <w:rPr>
          <w:color w:val="222222"/>
        </w:rPr>
        <w:t xml:space="preserve"> foi aperfeiçoada por outras resoluções, até que, em 2003 a RDC </w:t>
      </w:r>
      <w:r w:rsidR="00CA1E45">
        <w:rPr>
          <w:color w:val="222222"/>
        </w:rPr>
        <w:t>360/2003</w:t>
      </w:r>
      <w:r w:rsidR="0045216E">
        <w:rPr>
          <w:color w:val="222222"/>
        </w:rPr>
        <w:t xml:space="preserve"> tornou</w:t>
      </w:r>
      <w:r w:rsidR="00CA1E45">
        <w:rPr>
          <w:color w:val="222222"/>
        </w:rPr>
        <w:t xml:space="preserve"> obrigatória a </w:t>
      </w:r>
      <w:r w:rsidR="00CA1E45" w:rsidRPr="00CA1E45">
        <w:rPr>
          <w:color w:val="222222"/>
        </w:rPr>
        <w:t xml:space="preserve">rotulagem </w:t>
      </w:r>
      <w:r w:rsidR="000F0DCF" w:rsidRPr="00CA1E45">
        <w:rPr>
          <w:color w:val="222222"/>
        </w:rPr>
        <w:t>nutricional</w:t>
      </w:r>
      <w:r w:rsidR="000F0DCF">
        <w:rPr>
          <w:color w:val="222222"/>
        </w:rPr>
        <w:t xml:space="preserve">. </w:t>
      </w:r>
      <w:r w:rsidR="00CA1E45">
        <w:rPr>
          <w:color w:val="222222"/>
        </w:rPr>
        <w:t xml:space="preserve">Em 2006, a rotulagem nutricional </w:t>
      </w:r>
      <w:r w:rsidR="0045216E">
        <w:rPr>
          <w:color w:val="222222"/>
        </w:rPr>
        <w:t>estava</w:t>
      </w:r>
      <w:r w:rsidR="000F0DCF">
        <w:rPr>
          <w:color w:val="222222"/>
        </w:rPr>
        <w:t xml:space="preserve"> implementada, m</w:t>
      </w:r>
      <w:r w:rsidR="007C7431">
        <w:rPr>
          <w:color w:val="222222"/>
        </w:rPr>
        <w:t>as</w:t>
      </w:r>
      <w:r w:rsidR="00CA1E45">
        <w:rPr>
          <w:color w:val="222222"/>
        </w:rPr>
        <w:t xml:space="preserve"> problemas de saúde devido</w:t>
      </w:r>
      <w:r w:rsidR="000F0DCF">
        <w:rPr>
          <w:color w:val="222222"/>
        </w:rPr>
        <w:t xml:space="preserve"> à</w:t>
      </w:r>
      <w:r w:rsidR="00CA1E45">
        <w:rPr>
          <w:color w:val="222222"/>
        </w:rPr>
        <w:t xml:space="preserve"> alimentação inadequada </w:t>
      </w:r>
      <w:r w:rsidR="0045216E">
        <w:rPr>
          <w:color w:val="222222"/>
        </w:rPr>
        <w:t>aumentavam</w:t>
      </w:r>
      <w:r w:rsidR="00CA1E45">
        <w:rPr>
          <w:color w:val="222222"/>
        </w:rPr>
        <w:t xml:space="preserve">. </w:t>
      </w:r>
      <w:r w:rsidRPr="00DD5986">
        <w:rPr>
          <w:color w:val="222222"/>
        </w:rPr>
        <w:t xml:space="preserve">Em 2007, instituiu-se uma força tarefa por meio de portaria (3.092/2007) e estabeleceu-se um acordo de cooperação técnica entre a Associação Brasileira da Indústria de Alimentos (ABIA) e o Ministério da Saúde para a construção de um Plano Nacional de Vida Saudável, contendo aspectos da qualidade nutricional dos alimentos. Em 2010, o Ministério da Saúde publicou a RDC 24/2010 em que estabeleceu </w:t>
      </w:r>
      <w:r w:rsidR="000F0DCF">
        <w:rPr>
          <w:color w:val="222222"/>
        </w:rPr>
        <w:t xml:space="preserve">os </w:t>
      </w:r>
      <w:r w:rsidRPr="00DD5986">
        <w:rPr>
          <w:color w:val="222222"/>
        </w:rPr>
        <w:t xml:space="preserve">requisitos mínimos para a oferta de alimentos com altas quantidades de sódio, açúcar e gorduras. Entre 2011 e 2013 foram estabelecidos outros cinco acordos de cooperação técnica com foco </w:t>
      </w:r>
      <w:r w:rsidRPr="002F7E65">
        <w:rPr>
          <w:color w:val="222222"/>
        </w:rPr>
        <w:t xml:space="preserve">na redução do teor de sódio. </w:t>
      </w:r>
      <w:r w:rsidR="009200EB" w:rsidRPr="002F7E65">
        <w:rPr>
          <w:color w:val="222222"/>
        </w:rPr>
        <w:t>Em</w:t>
      </w:r>
      <w:r w:rsidRPr="002F7E65">
        <w:rPr>
          <w:color w:val="222222"/>
        </w:rPr>
        <w:t xml:space="preserve"> 2014, a </w:t>
      </w:r>
      <w:r w:rsidR="009200EB" w:rsidRPr="002F7E65">
        <w:rPr>
          <w:color w:val="222222"/>
        </w:rPr>
        <w:t xml:space="preserve">RDC 949/2014 institui um grupo de trabalho para auxiliar na elaboração de propostas regulatórias relacionadas à rotulagem nutricional, tendo a </w:t>
      </w:r>
      <w:r w:rsidR="002F7E65">
        <w:rPr>
          <w:color w:val="222222"/>
        </w:rPr>
        <w:t>Agência Nacional de Vigilância Sanitária (</w:t>
      </w:r>
      <w:r w:rsidRPr="002F7E65">
        <w:rPr>
          <w:color w:val="222222"/>
        </w:rPr>
        <w:t>ANVISA</w:t>
      </w:r>
      <w:r w:rsidR="002F7E65">
        <w:rPr>
          <w:color w:val="222222"/>
        </w:rPr>
        <w:t>)</w:t>
      </w:r>
      <w:r w:rsidR="009200EB" w:rsidRPr="002F7E65">
        <w:rPr>
          <w:color w:val="222222"/>
        </w:rPr>
        <w:t xml:space="preserve"> na gerência geral e a participação de associações da indústria e de consumidores, universidades públicas, ministérios e</w:t>
      </w:r>
      <w:r w:rsidR="000F0DCF">
        <w:rPr>
          <w:color w:val="222222"/>
        </w:rPr>
        <w:t xml:space="preserve"> o</w:t>
      </w:r>
      <w:r w:rsidR="009200EB" w:rsidRPr="002F7E65">
        <w:rPr>
          <w:color w:val="222222"/>
        </w:rPr>
        <w:t xml:space="preserve"> Instituto de Defesa do Consumidor (IDEC)</w:t>
      </w:r>
      <w:r w:rsidRPr="002F7E65">
        <w:rPr>
          <w:color w:val="222222"/>
        </w:rPr>
        <w:t xml:space="preserve">. </w:t>
      </w:r>
      <w:r w:rsidR="000F0DCF">
        <w:rPr>
          <w:color w:val="222222"/>
        </w:rPr>
        <w:t xml:space="preserve">O </w:t>
      </w:r>
      <w:r w:rsidR="002F7E65" w:rsidRPr="002F7E65">
        <w:rPr>
          <w:color w:val="222222"/>
        </w:rPr>
        <w:t>IDEC em parce</w:t>
      </w:r>
      <w:r w:rsidR="000F0DCF">
        <w:rPr>
          <w:color w:val="222222"/>
        </w:rPr>
        <w:t>ria com universidades propôs o</w:t>
      </w:r>
      <w:r w:rsidR="002F7E65" w:rsidRPr="002F7E65">
        <w:rPr>
          <w:color w:val="222222"/>
        </w:rPr>
        <w:t xml:space="preserve"> modelo de rotulagem frontal</w:t>
      </w:r>
      <w:r w:rsidR="000F0DCF">
        <w:rPr>
          <w:color w:val="222222"/>
        </w:rPr>
        <w:t xml:space="preserve"> com um “triângulo” e conduziu uma</w:t>
      </w:r>
      <w:r w:rsidR="002F7E65" w:rsidRPr="002F7E65">
        <w:rPr>
          <w:color w:val="222222"/>
        </w:rPr>
        <w:t xml:space="preserve"> pesquisa para comparação desse modelo ao de “lupa”, sugerido pelo setor </w:t>
      </w:r>
      <w:r w:rsidR="000F0DCF" w:rsidRPr="002F7E65">
        <w:rPr>
          <w:color w:val="222222"/>
        </w:rPr>
        <w:t>produtivo</w:t>
      </w:r>
      <w:r w:rsidR="000F0DCF">
        <w:rPr>
          <w:color w:val="222222"/>
        </w:rPr>
        <w:t>. Em</w:t>
      </w:r>
      <w:r w:rsidRPr="002F7E65">
        <w:rPr>
          <w:color w:val="222222"/>
        </w:rPr>
        <w:t xml:space="preserve"> 2018,</w:t>
      </w:r>
      <w:r w:rsidR="002F7E65" w:rsidRPr="002F7E65">
        <w:rPr>
          <w:color w:val="222222"/>
        </w:rPr>
        <w:t xml:space="preserve"> a ANVISA lançou a consulta pública sobre a </w:t>
      </w:r>
      <w:r w:rsidR="000F0DCF">
        <w:rPr>
          <w:color w:val="222222"/>
        </w:rPr>
        <w:t>rotulagem nutricional frontal e</w:t>
      </w:r>
      <w:r w:rsidR="002F7E65" w:rsidRPr="002F7E65">
        <w:rPr>
          <w:color w:val="222222"/>
        </w:rPr>
        <w:t xml:space="preserve"> </w:t>
      </w:r>
      <w:r w:rsidR="002F7E65">
        <w:rPr>
          <w:color w:val="222222"/>
        </w:rPr>
        <w:t>u</w:t>
      </w:r>
      <w:r w:rsidR="002F7E65" w:rsidRPr="002F7E65">
        <w:rPr>
          <w:color w:val="222222"/>
        </w:rPr>
        <w:t>m novo acordo de coope</w:t>
      </w:r>
      <w:r w:rsidR="002F7E65" w:rsidRPr="00DD5986">
        <w:rPr>
          <w:color w:val="222222"/>
        </w:rPr>
        <w:t xml:space="preserve">ração técnica </w:t>
      </w:r>
      <w:r w:rsidR="0045216E">
        <w:rPr>
          <w:color w:val="222222"/>
        </w:rPr>
        <w:t>foi</w:t>
      </w:r>
      <w:r w:rsidR="002F7E65">
        <w:rPr>
          <w:color w:val="222222"/>
        </w:rPr>
        <w:t xml:space="preserve"> assinado para </w:t>
      </w:r>
      <w:r w:rsidR="002F7E65" w:rsidRPr="002F7E65">
        <w:rPr>
          <w:color w:val="222222"/>
        </w:rPr>
        <w:t xml:space="preserve">a redução de açúcar </w:t>
      </w:r>
      <w:r w:rsidR="002F7E65">
        <w:rPr>
          <w:color w:val="222222"/>
        </w:rPr>
        <w:t>em</w:t>
      </w:r>
      <w:r w:rsidRPr="00DD5986">
        <w:rPr>
          <w:color w:val="222222"/>
        </w:rPr>
        <w:t xml:space="preserve"> grupos de alimentos prioritários. Em 2020, foi publicada a RDC (429/2020) e a IN 75/2020 com </w:t>
      </w:r>
      <w:r w:rsidR="0045216E">
        <w:rPr>
          <w:color w:val="222222"/>
        </w:rPr>
        <w:t>regras</w:t>
      </w:r>
      <w:r w:rsidR="000F0DCF">
        <w:rPr>
          <w:color w:val="222222"/>
        </w:rPr>
        <w:t xml:space="preserve"> </w:t>
      </w:r>
      <w:r w:rsidR="0045216E">
        <w:rPr>
          <w:color w:val="222222"/>
        </w:rPr>
        <w:t>para a</w:t>
      </w:r>
      <w:r w:rsidRPr="00DD5986">
        <w:rPr>
          <w:color w:val="222222"/>
        </w:rPr>
        <w:t xml:space="preserve"> rotulagem nutricional frontal, limites e sinalização por meio de uma “lupa” para alimento</w:t>
      </w:r>
      <w:r w:rsidR="007F3FEB">
        <w:rPr>
          <w:color w:val="222222"/>
        </w:rPr>
        <w:t>s</w:t>
      </w:r>
      <w:r w:rsidRPr="00DD5986">
        <w:rPr>
          <w:color w:val="222222"/>
        </w:rPr>
        <w:t xml:space="preserve"> com altos teores de açúcar adicionado, gorduras saturadas e sódio. Observou-se a importância </w:t>
      </w:r>
      <w:r w:rsidR="00094CC1">
        <w:rPr>
          <w:color w:val="222222"/>
        </w:rPr>
        <w:t xml:space="preserve">das meso-instituições </w:t>
      </w:r>
      <w:r w:rsidR="007C7431">
        <w:rPr>
          <w:color w:val="222222"/>
        </w:rPr>
        <w:t>para a</w:t>
      </w:r>
      <w:r w:rsidRPr="00DD5986">
        <w:rPr>
          <w:color w:val="222222"/>
        </w:rPr>
        <w:t xml:space="preserve"> definição de regras específicas sobre os limites de sódio, açúcar e gordura nos alimentos, </w:t>
      </w:r>
      <w:r w:rsidR="007C7431">
        <w:rPr>
          <w:color w:val="222222"/>
        </w:rPr>
        <w:t>e os</w:t>
      </w:r>
      <w:r w:rsidRPr="00DD5986">
        <w:rPr>
          <w:color w:val="222222"/>
        </w:rPr>
        <w:t xml:space="preserve"> alertas para o consumidor. Estas regras moldam o comportamento dos </w:t>
      </w:r>
      <w:r w:rsidR="007C7431">
        <w:rPr>
          <w:color w:val="222222"/>
        </w:rPr>
        <w:t xml:space="preserve">agentes </w:t>
      </w:r>
      <w:r w:rsidRPr="00DD5986">
        <w:rPr>
          <w:color w:val="222222"/>
        </w:rPr>
        <w:t>no nível micro-institucional.</w:t>
      </w:r>
    </w:p>
    <w:p w:rsidR="00C87211" w:rsidRPr="00DD5986" w:rsidRDefault="00A77D6E" w:rsidP="00DD5986">
      <w:pPr>
        <w:pStyle w:val="NormalWeb"/>
        <w:spacing w:before="240" w:beforeAutospacing="0" w:after="0" w:afterAutospacing="0"/>
        <w:jc w:val="both"/>
      </w:pPr>
      <w:r w:rsidRPr="000433EA">
        <w:rPr>
          <w:b/>
          <w:sz w:val="20"/>
          <w:szCs w:val="20"/>
        </w:rPr>
        <w:t>Agradecimento</w:t>
      </w:r>
      <w:r>
        <w:rPr>
          <w:b/>
          <w:sz w:val="20"/>
          <w:szCs w:val="20"/>
        </w:rPr>
        <w:t>s</w:t>
      </w:r>
      <w:r w:rsidRPr="000433EA">
        <w:rPr>
          <w:b/>
          <w:sz w:val="20"/>
          <w:szCs w:val="20"/>
        </w:rPr>
        <w:t xml:space="preserve">: </w:t>
      </w:r>
      <w:r w:rsidR="004B7F21">
        <w:rPr>
          <w:sz w:val="20"/>
          <w:szCs w:val="20"/>
        </w:rPr>
        <w:t>Embrapa</w:t>
      </w:r>
      <w:r w:rsidR="008A5F15">
        <w:rPr>
          <w:sz w:val="20"/>
          <w:szCs w:val="20"/>
        </w:rPr>
        <w:t xml:space="preserve"> (B</w:t>
      </w:r>
      <w:r w:rsidR="004B7F21">
        <w:rPr>
          <w:sz w:val="20"/>
          <w:szCs w:val="20"/>
        </w:rPr>
        <w:t>olsa CNPq)</w:t>
      </w:r>
      <w:r w:rsidR="00C87211">
        <w:rPr>
          <w:sz w:val="20"/>
          <w:szCs w:val="20"/>
        </w:rPr>
        <w:t xml:space="preserve">; </w:t>
      </w:r>
      <w:r w:rsidR="008A5F15">
        <w:rPr>
          <w:sz w:val="20"/>
          <w:szCs w:val="20"/>
        </w:rPr>
        <w:t xml:space="preserve">FAPESP (Processo No. </w:t>
      </w:r>
      <w:hyperlink r:id="rId8" w:history="1">
        <w:r w:rsidR="008A5F15" w:rsidRPr="008A5F15">
          <w:rPr>
            <w:sz w:val="20"/>
            <w:szCs w:val="20"/>
          </w:rPr>
          <w:t>2020/13307-0</w:t>
        </w:r>
      </w:hyperlink>
      <w:r w:rsidR="00C87211">
        <w:rPr>
          <w:sz w:val="20"/>
          <w:szCs w:val="20"/>
        </w:rPr>
        <w:t>);</w:t>
      </w:r>
      <w:r w:rsidR="008A5F15">
        <w:rPr>
          <w:sz w:val="20"/>
          <w:szCs w:val="20"/>
        </w:rPr>
        <w:t xml:space="preserve"> Rede </w:t>
      </w:r>
      <w:r w:rsidR="008A5F15" w:rsidRPr="008A5F15">
        <w:rPr>
          <w:i/>
          <w:sz w:val="20"/>
          <w:szCs w:val="20"/>
        </w:rPr>
        <w:t>All4Food</w:t>
      </w:r>
      <w:r w:rsidR="008A5F15">
        <w:rPr>
          <w:sz w:val="20"/>
          <w:szCs w:val="20"/>
        </w:rPr>
        <w:t xml:space="preserve">. </w:t>
      </w:r>
    </w:p>
    <w:p w:rsidR="002D127D" w:rsidRPr="008A5F15" w:rsidRDefault="00A77D6E" w:rsidP="00C872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127D">
        <w:rPr>
          <w:rFonts w:ascii="Times New Roman" w:hAnsi="Times New Roman" w:cs="Times New Roman"/>
          <w:b/>
          <w:sz w:val="20"/>
          <w:szCs w:val="20"/>
        </w:rPr>
        <w:t xml:space="preserve">Área: </w:t>
      </w:r>
      <w:r w:rsidR="002D127D" w:rsidRPr="002D127D">
        <w:rPr>
          <w:rFonts w:ascii="Times New Roman" w:hAnsi="Times New Roman" w:cs="Times New Roman"/>
          <w:sz w:val="20"/>
          <w:szCs w:val="20"/>
        </w:rPr>
        <w:t xml:space="preserve">Engenharias </w:t>
      </w:r>
      <w:r w:rsidR="007F3FEB">
        <w:rPr>
          <w:rFonts w:ascii="Times New Roman" w:hAnsi="Times New Roman" w:cs="Times New Roman"/>
          <w:sz w:val="20"/>
          <w:szCs w:val="20"/>
        </w:rPr>
        <w:t xml:space="preserve"> </w:t>
      </w:r>
      <w:r w:rsidRPr="002D127D">
        <w:rPr>
          <w:rFonts w:ascii="Times New Roman" w:hAnsi="Times New Roman" w:cs="Times New Roman"/>
          <w:b/>
          <w:sz w:val="20"/>
          <w:szCs w:val="20"/>
        </w:rPr>
        <w:t xml:space="preserve">Palavras-Chave: </w:t>
      </w:r>
      <w:r w:rsidR="00B9067E" w:rsidRPr="00B9067E">
        <w:rPr>
          <w:rFonts w:ascii="Times New Roman" w:hAnsi="Times New Roman" w:cs="Times New Roman"/>
          <w:sz w:val="20"/>
          <w:szCs w:val="20"/>
        </w:rPr>
        <w:t>Meso</w:t>
      </w:r>
      <w:r w:rsidR="007C7431">
        <w:rPr>
          <w:rFonts w:ascii="Times New Roman" w:hAnsi="Times New Roman" w:cs="Times New Roman"/>
          <w:sz w:val="20"/>
          <w:szCs w:val="20"/>
        </w:rPr>
        <w:t>-</w:t>
      </w:r>
      <w:r w:rsidR="00B9067E" w:rsidRPr="00B9067E">
        <w:rPr>
          <w:rFonts w:ascii="Times New Roman" w:hAnsi="Times New Roman" w:cs="Times New Roman"/>
          <w:sz w:val="20"/>
          <w:szCs w:val="20"/>
        </w:rPr>
        <w:t>instituiç</w:t>
      </w:r>
      <w:r w:rsidR="00B9067E">
        <w:rPr>
          <w:rFonts w:ascii="Times New Roman" w:hAnsi="Times New Roman" w:cs="Times New Roman"/>
          <w:sz w:val="20"/>
          <w:szCs w:val="20"/>
        </w:rPr>
        <w:t>ão</w:t>
      </w:r>
      <w:r w:rsidR="00B9067E" w:rsidRPr="00B9067E">
        <w:rPr>
          <w:rFonts w:ascii="Times New Roman" w:hAnsi="Times New Roman" w:cs="Times New Roman"/>
          <w:sz w:val="20"/>
          <w:szCs w:val="20"/>
        </w:rPr>
        <w:t xml:space="preserve">, </w:t>
      </w:r>
      <w:r w:rsidR="00B70D30" w:rsidRPr="00B9067E">
        <w:rPr>
          <w:rFonts w:ascii="Times New Roman" w:hAnsi="Times New Roman" w:cs="Times New Roman"/>
          <w:sz w:val="20"/>
          <w:szCs w:val="20"/>
        </w:rPr>
        <w:t>Rotulagem</w:t>
      </w:r>
      <w:r w:rsidR="00B9067E">
        <w:rPr>
          <w:rFonts w:ascii="Times New Roman" w:hAnsi="Times New Roman" w:cs="Times New Roman"/>
          <w:sz w:val="20"/>
          <w:szCs w:val="20"/>
        </w:rPr>
        <w:t xml:space="preserve">, </w:t>
      </w:r>
      <w:r w:rsidR="00B70D30" w:rsidRPr="00B70D30">
        <w:rPr>
          <w:rFonts w:ascii="Times New Roman" w:hAnsi="Times New Roman" w:cs="Times New Roman"/>
          <w:sz w:val="20"/>
          <w:szCs w:val="20"/>
        </w:rPr>
        <w:t>Sódio,</w:t>
      </w:r>
      <w:r w:rsidR="00AD35D0">
        <w:rPr>
          <w:rFonts w:ascii="Times New Roman" w:hAnsi="Times New Roman" w:cs="Times New Roman"/>
          <w:sz w:val="20"/>
          <w:szCs w:val="20"/>
        </w:rPr>
        <w:t xml:space="preserve"> G</w:t>
      </w:r>
      <w:r w:rsidR="00B9067E">
        <w:rPr>
          <w:rFonts w:ascii="Times New Roman" w:hAnsi="Times New Roman" w:cs="Times New Roman"/>
          <w:sz w:val="20"/>
          <w:szCs w:val="20"/>
        </w:rPr>
        <w:t>ordura,</w:t>
      </w:r>
      <w:r w:rsidR="00B70D30" w:rsidRPr="00B70D30">
        <w:rPr>
          <w:rFonts w:ascii="Times New Roman" w:hAnsi="Times New Roman" w:cs="Times New Roman"/>
          <w:sz w:val="20"/>
          <w:szCs w:val="20"/>
        </w:rPr>
        <w:t xml:space="preserve"> Açúcar.</w:t>
      </w:r>
    </w:p>
    <w:sectPr w:rsidR="002D127D" w:rsidRPr="008A5F15" w:rsidSect="00E351CC">
      <w:headerReference w:type="default" r:id="rId9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DC3" w:rsidRDefault="00126DC3" w:rsidP="00DA1F7E">
      <w:pPr>
        <w:spacing w:after="0" w:line="240" w:lineRule="auto"/>
      </w:pPr>
      <w:r>
        <w:separator/>
      </w:r>
    </w:p>
  </w:endnote>
  <w:endnote w:type="continuationSeparator" w:id="1">
    <w:p w:rsidR="00126DC3" w:rsidRDefault="00126DC3" w:rsidP="00DA1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DC3" w:rsidRDefault="00126DC3" w:rsidP="00DA1F7E">
      <w:pPr>
        <w:spacing w:after="0" w:line="240" w:lineRule="auto"/>
      </w:pPr>
      <w:r>
        <w:separator/>
      </w:r>
    </w:p>
  </w:footnote>
  <w:footnote w:type="continuationSeparator" w:id="1">
    <w:p w:rsidR="00126DC3" w:rsidRDefault="00126DC3" w:rsidP="00DA1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6F3" w:rsidRDefault="00C526F3" w:rsidP="00C526F3">
    <w:pPr>
      <w:pStyle w:val="Cabealho"/>
      <w:ind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:rsidR="00C526F3" w:rsidRPr="00E12AB0" w:rsidRDefault="00C526F3" w:rsidP="00C526F3">
    <w:pPr>
      <w:pStyle w:val="Cabealho"/>
      <w:pBdr>
        <w:bottom w:val="single" w:sz="4" w:space="1" w:color="auto"/>
      </w:pBdr>
      <w:ind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  <w:p w:rsidR="00B13847" w:rsidRDefault="00B13847" w:rsidP="00B13847">
    <w:pPr>
      <w:pStyle w:val="Cabealho"/>
      <w:jc w:val="center"/>
    </w:pPr>
    <w:r>
      <w:ptab w:relativeTo="margin" w:alignment="center" w:leader="none"/>
    </w:r>
    <w:r>
      <w:ptab w:relativeTo="margin" w:alignment="center" w:leader="underscore"/>
    </w:r>
    <w:r>
      <w:ptab w:relativeTo="margin" w:alignment="center" w:leader="underscor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436B9"/>
    <w:rsid w:val="00023B28"/>
    <w:rsid w:val="000416B4"/>
    <w:rsid w:val="000433EA"/>
    <w:rsid w:val="000703C2"/>
    <w:rsid w:val="00094CC1"/>
    <w:rsid w:val="000C5B79"/>
    <w:rsid w:val="000F0DCF"/>
    <w:rsid w:val="000F421C"/>
    <w:rsid w:val="0011067D"/>
    <w:rsid w:val="00126DC3"/>
    <w:rsid w:val="00141C4E"/>
    <w:rsid w:val="001A4AD4"/>
    <w:rsid w:val="001C0A64"/>
    <w:rsid w:val="001C30B0"/>
    <w:rsid w:val="001F252E"/>
    <w:rsid w:val="00204F11"/>
    <w:rsid w:val="002235D4"/>
    <w:rsid w:val="00262650"/>
    <w:rsid w:val="0027281C"/>
    <w:rsid w:val="002758E5"/>
    <w:rsid w:val="002A7367"/>
    <w:rsid w:val="002B51CD"/>
    <w:rsid w:val="002D127D"/>
    <w:rsid w:val="002E7EB1"/>
    <w:rsid w:val="002F7E65"/>
    <w:rsid w:val="00305C24"/>
    <w:rsid w:val="003377F4"/>
    <w:rsid w:val="003436B9"/>
    <w:rsid w:val="00381107"/>
    <w:rsid w:val="00386CD1"/>
    <w:rsid w:val="003A6ABD"/>
    <w:rsid w:val="003B3AF0"/>
    <w:rsid w:val="003D009D"/>
    <w:rsid w:val="003D2AAC"/>
    <w:rsid w:val="003E36CD"/>
    <w:rsid w:val="003F6B56"/>
    <w:rsid w:val="00424E40"/>
    <w:rsid w:val="00441947"/>
    <w:rsid w:val="00450CD6"/>
    <w:rsid w:val="0045216E"/>
    <w:rsid w:val="004B6D76"/>
    <w:rsid w:val="004B7F21"/>
    <w:rsid w:val="004C6F61"/>
    <w:rsid w:val="00501430"/>
    <w:rsid w:val="00565867"/>
    <w:rsid w:val="005A3FA9"/>
    <w:rsid w:val="005B44DA"/>
    <w:rsid w:val="005F1648"/>
    <w:rsid w:val="005F2B6F"/>
    <w:rsid w:val="0060081B"/>
    <w:rsid w:val="00611C35"/>
    <w:rsid w:val="00643F45"/>
    <w:rsid w:val="00681D40"/>
    <w:rsid w:val="006D545D"/>
    <w:rsid w:val="006F4474"/>
    <w:rsid w:val="007002D8"/>
    <w:rsid w:val="00783B1D"/>
    <w:rsid w:val="00794ED2"/>
    <w:rsid w:val="007C7431"/>
    <w:rsid w:val="007F2207"/>
    <w:rsid w:val="007F3FEB"/>
    <w:rsid w:val="00810760"/>
    <w:rsid w:val="008565F5"/>
    <w:rsid w:val="00867B67"/>
    <w:rsid w:val="0088278A"/>
    <w:rsid w:val="008A5F15"/>
    <w:rsid w:val="008B4B0F"/>
    <w:rsid w:val="008D34E3"/>
    <w:rsid w:val="008D43D3"/>
    <w:rsid w:val="009070F2"/>
    <w:rsid w:val="009109C1"/>
    <w:rsid w:val="009200EB"/>
    <w:rsid w:val="009818F3"/>
    <w:rsid w:val="009A16A7"/>
    <w:rsid w:val="009B0EBC"/>
    <w:rsid w:val="009D757D"/>
    <w:rsid w:val="009F2C78"/>
    <w:rsid w:val="00A120D2"/>
    <w:rsid w:val="00A152C6"/>
    <w:rsid w:val="00A17BDE"/>
    <w:rsid w:val="00A21811"/>
    <w:rsid w:val="00A25453"/>
    <w:rsid w:val="00A56BAE"/>
    <w:rsid w:val="00A66CD6"/>
    <w:rsid w:val="00A77D6E"/>
    <w:rsid w:val="00A805D1"/>
    <w:rsid w:val="00AD35D0"/>
    <w:rsid w:val="00B13847"/>
    <w:rsid w:val="00B27E7E"/>
    <w:rsid w:val="00B547A1"/>
    <w:rsid w:val="00B70D30"/>
    <w:rsid w:val="00B9067E"/>
    <w:rsid w:val="00BB6080"/>
    <w:rsid w:val="00C30C12"/>
    <w:rsid w:val="00C526F3"/>
    <w:rsid w:val="00C56E83"/>
    <w:rsid w:val="00C71FA9"/>
    <w:rsid w:val="00C87211"/>
    <w:rsid w:val="00C915A1"/>
    <w:rsid w:val="00C92768"/>
    <w:rsid w:val="00CA1E45"/>
    <w:rsid w:val="00D2500B"/>
    <w:rsid w:val="00D66C22"/>
    <w:rsid w:val="00D81731"/>
    <w:rsid w:val="00DA1F7E"/>
    <w:rsid w:val="00DB3D2B"/>
    <w:rsid w:val="00DC761B"/>
    <w:rsid w:val="00DD5986"/>
    <w:rsid w:val="00DF5F35"/>
    <w:rsid w:val="00DF5FBD"/>
    <w:rsid w:val="00DF6CFB"/>
    <w:rsid w:val="00E2262F"/>
    <w:rsid w:val="00E351CC"/>
    <w:rsid w:val="00E71489"/>
    <w:rsid w:val="00E75A0E"/>
    <w:rsid w:val="00EC3278"/>
    <w:rsid w:val="00EE3D9C"/>
    <w:rsid w:val="00F5573A"/>
    <w:rsid w:val="00F6055F"/>
    <w:rsid w:val="00F87AF1"/>
    <w:rsid w:val="00F91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6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436B9"/>
  </w:style>
  <w:style w:type="character" w:styleId="Hyperlink">
    <w:name w:val="Hyperlink"/>
    <w:basedOn w:val="Fontepargpadro"/>
    <w:uiPriority w:val="99"/>
    <w:unhideWhenUsed/>
    <w:rsid w:val="00F6055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qFormat/>
    <w:rsid w:val="00DA1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A1F7E"/>
  </w:style>
  <w:style w:type="paragraph" w:styleId="Rodap">
    <w:name w:val="footer"/>
    <w:basedOn w:val="Normal"/>
    <w:link w:val="RodapChar"/>
    <w:uiPriority w:val="99"/>
    <w:semiHidden/>
    <w:unhideWhenUsed/>
    <w:rsid w:val="00DA1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A1F7E"/>
  </w:style>
  <w:style w:type="paragraph" w:styleId="PargrafodaLista">
    <w:name w:val="List Paragraph"/>
    <w:basedOn w:val="Normal"/>
    <w:uiPriority w:val="34"/>
    <w:qFormat/>
    <w:rsid w:val="000416B4"/>
    <w:pPr>
      <w:ind w:left="720"/>
      <w:contextualSpacing/>
    </w:pPr>
  </w:style>
  <w:style w:type="character" w:customStyle="1" w:styleId="cesartextoregular">
    <w:name w:val="cesar_texto_regular"/>
    <w:basedOn w:val="Fontepargpadro"/>
    <w:rsid w:val="008A5F15"/>
  </w:style>
  <w:style w:type="paragraph" w:styleId="NormalWeb">
    <w:name w:val="Normal (Web)"/>
    <w:basedOn w:val="Normal"/>
    <w:uiPriority w:val="99"/>
    <w:unhideWhenUsed/>
    <w:rsid w:val="009A1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mediumPopup('/SAGe_WEB/printProcess.do?abstractProcessId=329097&amp;typeProcess=true&amp;showInPopup=true&amp;org.apache.struts.taglib.html.TOKEN=3473be368de3ebf6f083f90fc3ff9f88&amp;method=printProcess%27,%20%27popup%27)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noelafariapereir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6CC90-EDBA-425F-8795-0DD2BAF6E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640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2023-07-14T16:13:00Z</cp:lastPrinted>
  <dcterms:created xsi:type="dcterms:W3CDTF">2023-07-21T23:59:00Z</dcterms:created>
  <dcterms:modified xsi:type="dcterms:W3CDTF">2023-07-21T23:59:00Z</dcterms:modified>
</cp:coreProperties>
</file>