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6CB6" w:rsidRDefault="00E100F5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Avaliação da resistência de genótipos de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Paspalum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sp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Colletotrichum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spp</w:t>
      </w:r>
      <w:proofErr w:type="spellEnd"/>
    </w:p>
    <w:p w:rsidR="006A6CB6" w:rsidRDefault="006A6C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6A6CB6" w:rsidRDefault="00E100F5">
      <w:pPr>
        <w:spacing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u w:val="single"/>
        </w:rPr>
        <w:t>Bruno Graça da Silva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; Sônia Regina Nogueira </w:t>
      </w:r>
      <w:proofErr w:type="gramStart"/>
      <w:r>
        <w:rPr>
          <w:rFonts w:ascii="Times New Roman" w:eastAsia="Times New Roman" w:hAnsi="Times New Roman" w:cs="Times New Roman"/>
        </w:rPr>
        <w:t>Stephan</w:t>
      </w:r>
      <w:r>
        <w:rPr>
          <w:rFonts w:ascii="Times New Roman" w:eastAsia="Times New Roman" w:hAnsi="Times New Roman" w:cs="Times New Roman"/>
          <w:vertAlign w:val="superscript"/>
        </w:rPr>
        <w:t>2</w:t>
      </w:r>
      <w:proofErr w:type="gramEnd"/>
    </w:p>
    <w:p w:rsidR="006A6CB6" w:rsidRDefault="006A6CB6">
      <w:pPr>
        <w:spacing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</w:p>
    <w:p w:rsidR="006A6CB6" w:rsidRDefault="00E100F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Ciências Biológicas, Universidade Federal de São Carlos, São Carlos, SP. Bolsista PIBIC/CNPq, Embrapa Pecuária Sudeste, São Carlos, SP;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brunograca2003@gmail.com</w:t>
      </w:r>
      <w:proofErr w:type="gramEnd"/>
    </w:p>
    <w:p w:rsidR="006A6CB6" w:rsidRDefault="00E100F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Pesquisadora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da Embrapa Pecuária Sudeste, São Carlos, SP.</w:t>
      </w:r>
    </w:p>
    <w:p w:rsidR="006A6CB6" w:rsidRDefault="006A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6CB6" w:rsidRDefault="006A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6CB6" w:rsidRDefault="00E100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Atualmente, </w:t>
      </w:r>
      <w:r>
        <w:rPr>
          <w:rFonts w:ascii="Times New Roman" w:eastAsia="Times New Roman" w:hAnsi="Times New Roman" w:cs="Times New Roman"/>
          <w:sz w:val="24"/>
          <w:szCs w:val="24"/>
        </w:rPr>
        <w:t>encontramos pelo Brasil uma pequena diversidade de pastagens, devido ao baixo número de cultivares de gramíneas forrageiras tropicais utilizadas no pastejo, gerando uma suscetibilidade maior a prejuízos pela ocorrência de estresses bióticos ou abióticos.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país pode estar à beira de um grande colapso agrícola por sofrer de uma vulnerabilidade genética. Para oferecer opções no cultivo de forrageiras, o programa de melhoramento genético (PMG) desenvolve híbridos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Paspalum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fim de identificar e selecionar genótipos com resistência a doenças. O objetivo deste trabalho foi avaliar híbridos quanto a sua resistência à antracnose, causada pelo fungo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Colletotrichum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que ocasiona grandes perdas na produtividade dessa forrageir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e </w:t>
      </w:r>
      <w:r w:rsidR="00B62BC2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outras espécies. Em laboratório, foram cultivados isolados do fungo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Colletotrichum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spp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obtidos de plantas de </w:t>
      </w:r>
      <w:proofErr w:type="spellStart"/>
      <w:r w:rsidRPr="00B62BC2">
        <w:rPr>
          <w:rFonts w:ascii="Times New Roman" w:eastAsia="Times New Roman" w:hAnsi="Times New Roman" w:cs="Times New Roman"/>
          <w:i/>
          <w:sz w:val="24"/>
          <w:szCs w:val="24"/>
        </w:rPr>
        <w:t>Paspalum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sintomas de antracnose no campo. Em placas de Petri 90x15mm estéreis contendo meio Batata Dextrose Ágar, procedeu-se </w:t>
      </w:r>
      <w:r>
        <w:rPr>
          <w:rFonts w:ascii="Times New Roman" w:eastAsia="Times New Roman" w:hAnsi="Times New Roman" w:cs="Times New Roman"/>
          <w:sz w:val="24"/>
          <w:szCs w:val="24"/>
        </w:rPr>
        <w:t>o isolamen</w:t>
      </w:r>
      <w:r>
        <w:rPr>
          <w:rFonts w:ascii="Times New Roman" w:eastAsia="Times New Roman" w:hAnsi="Times New Roman" w:cs="Times New Roman"/>
          <w:sz w:val="24"/>
          <w:szCs w:val="24"/>
        </w:rPr>
        <w:t>to do fungo</w:t>
      </w:r>
      <w:r w:rsidR="00B62BC2">
        <w:rPr>
          <w:rFonts w:ascii="Times New Roman" w:eastAsia="Times New Roman" w:hAnsi="Times New Roman" w:cs="Times New Roman"/>
          <w:sz w:val="24"/>
          <w:szCs w:val="24"/>
        </w:rPr>
        <w:t xml:space="preserve"> e obtenção de culturas puras</w:t>
      </w:r>
      <w:r w:rsidR="00CC7BB9">
        <w:rPr>
          <w:rFonts w:ascii="Times New Roman" w:eastAsia="Times New Roman" w:hAnsi="Times New Roman" w:cs="Times New Roman"/>
          <w:sz w:val="24"/>
          <w:szCs w:val="24"/>
        </w:rPr>
        <w:t xml:space="preserve"> que posteriormente foram usadas para inoculação das plantas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 avaliação da resistência à doença foi feita em 120 genótipos híbridos do PMG. Foram transplantados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perfilhos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raízes e parte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aérea bem desenvolvidas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cada genótipo para vasos contendo solo esterilizado, sendo usadas </w:t>
      </w:r>
      <w:r w:rsidR="00B62BC2">
        <w:rPr>
          <w:rFonts w:ascii="Times New Roman" w:eastAsia="Times New Roman" w:hAnsi="Times New Roman" w:cs="Times New Roman"/>
          <w:sz w:val="24"/>
          <w:szCs w:val="24"/>
        </w:rPr>
        <w:t>cinco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repetições para ca</w:t>
      </w:r>
      <w:r>
        <w:rPr>
          <w:rFonts w:ascii="Times New Roman" w:eastAsia="Times New Roman" w:hAnsi="Times New Roman" w:cs="Times New Roman"/>
          <w:sz w:val="24"/>
          <w:szCs w:val="24"/>
        </w:rPr>
        <w:t>da híbrido, totalizando 600 vasos dispostos em bancadas e mantidos em casa de vegetação. Passado o tempo de fixação, ocorreu uma poda</w:t>
      </w:r>
      <w:r w:rsidR="00CC7BB9">
        <w:rPr>
          <w:rFonts w:ascii="Times New Roman" w:eastAsia="Times New Roman" w:hAnsi="Times New Roman" w:cs="Times New Roman"/>
          <w:sz w:val="24"/>
          <w:szCs w:val="24"/>
        </w:rPr>
        <w:t xml:space="preserve"> para uniformização da altura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BB9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as plantas</w:t>
      </w:r>
      <w:r w:rsidR="00CC7BB9">
        <w:rPr>
          <w:rFonts w:ascii="Times New Roman" w:eastAsia="Times New Roman" w:hAnsi="Times New Roman" w:cs="Times New Roman"/>
          <w:sz w:val="24"/>
          <w:szCs w:val="24"/>
        </w:rPr>
        <w:t>, que foram inoculadas ut</w:t>
      </w:r>
      <w:r w:rsidR="00B62BC2">
        <w:rPr>
          <w:rFonts w:ascii="Times New Roman" w:eastAsia="Times New Roman" w:hAnsi="Times New Roman" w:cs="Times New Roman"/>
          <w:sz w:val="24"/>
          <w:szCs w:val="24"/>
        </w:rPr>
        <w:t xml:space="preserve">ilizando-se uma </w:t>
      </w:r>
      <w:r w:rsidR="00B62BC2">
        <w:rPr>
          <w:rFonts w:ascii="Times New Roman" w:eastAsia="Times New Roman" w:hAnsi="Times New Roman" w:cs="Times New Roman"/>
          <w:sz w:val="24"/>
          <w:szCs w:val="24"/>
        </w:rPr>
        <w:t>suspensão de esporos</w:t>
      </w:r>
      <w:r w:rsidR="00CC7BB9" w:rsidRPr="00CC7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BB9">
        <w:rPr>
          <w:rFonts w:ascii="Times New Roman" w:eastAsia="Times New Roman" w:hAnsi="Times New Roman" w:cs="Times New Roman"/>
          <w:sz w:val="24"/>
          <w:szCs w:val="24"/>
        </w:rPr>
        <w:t>ajustada para 2.3 x 10</w:t>
      </w:r>
      <w:r w:rsidR="00CC7B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="00CC7BB9">
        <w:rPr>
          <w:rFonts w:ascii="Times New Roman" w:eastAsia="Times New Roman" w:hAnsi="Times New Roman" w:cs="Times New Roman"/>
          <w:sz w:val="24"/>
          <w:szCs w:val="24"/>
        </w:rPr>
        <w:t xml:space="preserve"> conídios/</w:t>
      </w:r>
      <w:proofErr w:type="spellStart"/>
      <w:r w:rsidR="00CC7BB9">
        <w:rPr>
          <w:rFonts w:ascii="Times New Roman" w:eastAsia="Times New Roman" w:hAnsi="Times New Roman" w:cs="Times New Roman"/>
          <w:sz w:val="24"/>
          <w:szCs w:val="24"/>
        </w:rPr>
        <w:t>mL</w:t>
      </w:r>
      <w:proofErr w:type="spellEnd"/>
      <w:r w:rsidR="00CC7BB9">
        <w:rPr>
          <w:rFonts w:ascii="Times New Roman" w:eastAsia="Times New Roman" w:hAnsi="Times New Roman" w:cs="Times New Roman"/>
          <w:sz w:val="24"/>
          <w:szCs w:val="24"/>
        </w:rPr>
        <w:t xml:space="preserve"> e então pulverizada sobre </w:t>
      </w:r>
      <w:r w:rsidR="00AD0E17">
        <w:rPr>
          <w:rFonts w:ascii="Times New Roman" w:eastAsia="Times New Roman" w:hAnsi="Times New Roman" w:cs="Times New Roman"/>
          <w:sz w:val="24"/>
          <w:szCs w:val="24"/>
        </w:rPr>
        <w:t>elas,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BB9">
        <w:rPr>
          <w:rFonts w:ascii="Times New Roman" w:eastAsia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eastAsia="Times New Roman" w:hAnsi="Times New Roman" w:cs="Times New Roman"/>
          <w:sz w:val="24"/>
          <w:szCs w:val="24"/>
        </w:rPr>
        <w:t>casa de vegetação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0E17">
        <w:rPr>
          <w:rFonts w:ascii="Times New Roman" w:eastAsia="Times New Roman" w:hAnsi="Times New Roman" w:cs="Times New Roman"/>
          <w:sz w:val="24"/>
          <w:szCs w:val="24"/>
        </w:rPr>
        <w:t>As plantas foram cobertas com lona plástica</w:t>
      </w:r>
      <w:r w:rsidR="00AD0E17" w:rsidRPr="00AD0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E17">
        <w:rPr>
          <w:rFonts w:ascii="Times New Roman" w:eastAsia="Times New Roman" w:hAnsi="Times New Roman" w:cs="Times New Roman"/>
          <w:sz w:val="24"/>
          <w:szCs w:val="24"/>
        </w:rPr>
        <w:t>por 24 horas</w:t>
      </w:r>
      <w:r w:rsidR="00AD0E17">
        <w:rPr>
          <w:rFonts w:ascii="Times New Roman" w:eastAsia="Times New Roman" w:hAnsi="Times New Roman" w:cs="Times New Roman"/>
          <w:sz w:val="24"/>
          <w:szCs w:val="24"/>
        </w:rPr>
        <w:t>, para manutenção da umidade, favorecendo a infecção do</w:t>
      </w:r>
      <w:bookmarkStart w:id="0" w:name="_GoBack"/>
      <w:bookmarkEnd w:id="0"/>
      <w:r w:rsidR="00AD0E17">
        <w:rPr>
          <w:rFonts w:ascii="Times New Roman" w:eastAsia="Times New Roman" w:hAnsi="Times New Roman" w:cs="Times New Roman"/>
          <w:sz w:val="24"/>
          <w:szCs w:val="24"/>
        </w:rPr>
        <w:t xml:space="preserve"> fungo.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Após 90 dias, as plantas foram avaliadas para severidade da doença, usando uma escala de notas para porcentagem de tecido danificado pelos sintomas de antracnose em relação à área total da parte aérea. As notas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ariaram de 1 a 6, sendo Nota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aquelas que possuíam área contaminada &lt;= 0%, nota 2 às que possuíam área contaminada &gt; 0% e &lt;= 10%, Nota 3 às que possuíam área contaminada &gt; 10% e &lt;= 20%, Nota 4 às que possuíam área contaminada &gt; 20% e &lt;= 30%, Nota 5 às q</w:t>
      </w:r>
      <w:r>
        <w:rPr>
          <w:rFonts w:ascii="Times New Roman" w:eastAsia="Times New Roman" w:hAnsi="Times New Roman" w:cs="Times New Roman"/>
          <w:sz w:val="24"/>
          <w:szCs w:val="24"/>
        </w:rPr>
        <w:t>ue possuíam área contaminada  &gt; 30% e &lt;= 40% e nota 6 às plantas com  área contaminada &gt; 40%. Os resultados das avaliações revelaram uma nota média geral de valor 5.09, dando destaque aos genótipos 9, 10, 25 e 32 por terem uma menor área afetada, com notas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abaixo da média, sendo respectivamente 3.2, 3.4, 3.25 e 3.8. Conclui-se então que nas condições em que foram avaliados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genótipos comportaram-se como suscetíveis ao patógeno, podendo ser utilizados em regiões de baixa ocorrência do fungo, em épocas desf</w:t>
      </w:r>
      <w:r>
        <w:rPr>
          <w:rFonts w:ascii="Times New Roman" w:eastAsia="Times New Roman" w:hAnsi="Times New Roman" w:cs="Times New Roman"/>
          <w:sz w:val="24"/>
          <w:szCs w:val="24"/>
        </w:rPr>
        <w:t>avoráveis à prevalência da doença no campo.</w:t>
      </w:r>
    </w:p>
    <w:p w:rsidR="006A6CB6" w:rsidRDefault="006A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6CB6" w:rsidRDefault="00E100F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Embrapa</w:t>
      </w:r>
    </w:p>
    <w:p w:rsidR="006A6CB6" w:rsidRDefault="00E100F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Área: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Ciências Agrárias; Ciências Biológicas;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Fitopatologia</w:t>
      </w:r>
      <w:proofErr w:type="gramEnd"/>
    </w:p>
    <w:p w:rsidR="006A6CB6" w:rsidRDefault="00E100F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Palavras-chave: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Colletotrichum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Híbridos de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Paspalum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Avaliação de Severidade da Antracnose,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Fitopatologia</w:t>
      </w:r>
      <w:proofErr w:type="gramEnd"/>
    </w:p>
    <w:p w:rsidR="006A6CB6" w:rsidRDefault="00E100F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N. do Processo PIB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IC/PIBIT: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800434/2022-6</w:t>
      </w:r>
    </w:p>
    <w:sectPr w:rsidR="006A6CB6" w:rsidSect="00B62BC2">
      <w:headerReference w:type="default" r:id="rId7"/>
      <w:pgSz w:w="12240" w:h="15840"/>
      <w:pgMar w:top="1700" w:right="1417" w:bottom="1417" w:left="1417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0F5" w:rsidRDefault="00E100F5">
      <w:pPr>
        <w:spacing w:line="240" w:lineRule="auto"/>
      </w:pPr>
      <w:r>
        <w:separator/>
      </w:r>
    </w:p>
  </w:endnote>
  <w:endnote w:type="continuationSeparator" w:id="0">
    <w:p w:rsidR="00E100F5" w:rsidRDefault="00E100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0F5" w:rsidRDefault="00E100F5">
      <w:pPr>
        <w:spacing w:line="240" w:lineRule="auto"/>
      </w:pPr>
      <w:r>
        <w:separator/>
      </w:r>
    </w:p>
  </w:footnote>
  <w:footnote w:type="continuationSeparator" w:id="0">
    <w:p w:rsidR="00E100F5" w:rsidRDefault="00E100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B6" w:rsidRDefault="00E100F5">
    <w:pPr>
      <w:tabs>
        <w:tab w:val="center" w:pos="4419"/>
        <w:tab w:val="right" w:pos="8838"/>
      </w:tabs>
      <w:spacing w:line="240" w:lineRule="auto"/>
      <w:ind w:right="360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Resumo da 15</w:t>
    </w:r>
    <w:r>
      <w:rPr>
        <w:rFonts w:ascii="Times New Roman" w:eastAsia="Times New Roman" w:hAnsi="Times New Roman" w:cs="Times New Roman"/>
        <w:sz w:val="20"/>
        <w:szCs w:val="20"/>
        <w:vertAlign w:val="superscript"/>
      </w:rPr>
      <w:t>a</w:t>
    </w:r>
    <w:r>
      <w:rPr>
        <w:rFonts w:ascii="Times New Roman" w:eastAsia="Times New Roman" w:hAnsi="Times New Roman" w:cs="Times New Roman"/>
        <w:sz w:val="20"/>
        <w:szCs w:val="20"/>
      </w:rPr>
      <w:t xml:space="preserve"> Jornada Científica – Embrapa São Carlos – 22 de agosto de 2023</w:t>
    </w:r>
  </w:p>
  <w:p w:rsidR="006A6CB6" w:rsidRDefault="00E100F5">
    <w:pPr>
      <w:tabs>
        <w:tab w:val="center" w:pos="4419"/>
        <w:tab w:val="right" w:pos="8838"/>
      </w:tabs>
      <w:spacing w:line="240" w:lineRule="auto"/>
      <w:ind w:right="360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Embrapa Instrumentação e Embrapa Pecuária Sudeste – São Carlos – SP – Brasil</w:t>
    </w:r>
  </w:p>
  <w:p w:rsidR="006A6CB6" w:rsidRDefault="00E100F5">
    <w:pPr>
      <w:tabs>
        <w:tab w:val="center" w:pos="4419"/>
        <w:tab w:val="right" w:pos="8838"/>
      </w:tabs>
      <w:spacing w:line="240" w:lineRule="auto"/>
      <w:ind w:right="360"/>
      <w:jc w:val="center"/>
      <w:rPr>
        <w:rFonts w:ascii="Times New Roman" w:eastAsia="Times New Roman" w:hAnsi="Times New Roman" w:cs="Times New Roman"/>
        <w:sz w:val="20"/>
        <w:szCs w:val="20"/>
      </w:rPr>
    </w:pPr>
    <w:r>
      <w:pict>
        <v:rect id="_x0000_i1025" style="width:0;height:1.5pt" o:hralign="center" o:hrstd="t" o:hr="t" fillcolor="#a0a0a0" stroked="f"/>
      </w:pict>
    </w:r>
  </w:p>
  <w:p w:rsidR="006A6CB6" w:rsidRDefault="006A6CB6">
    <w:pPr>
      <w:tabs>
        <w:tab w:val="center" w:pos="4419"/>
        <w:tab w:val="right" w:pos="8838"/>
      </w:tabs>
      <w:spacing w:line="240" w:lineRule="auto"/>
      <w:ind w:right="360"/>
      <w:jc w:val="center"/>
      <w:rPr>
        <w:rFonts w:ascii="Times New Roman" w:eastAsia="Times New Roman" w:hAnsi="Times New Roman" w:cs="Times New Roman"/>
        <w:sz w:val="20"/>
        <w:szCs w:val="20"/>
      </w:rPr>
    </w:pPr>
  </w:p>
  <w:p w:rsidR="006A6CB6" w:rsidRDefault="006A6C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6CB6"/>
    <w:rsid w:val="006A6CB6"/>
    <w:rsid w:val="00AD0E17"/>
    <w:rsid w:val="00B62BC2"/>
    <w:rsid w:val="00CC7BB9"/>
    <w:rsid w:val="00E1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Nmerodelinha">
    <w:name w:val="line number"/>
    <w:basedOn w:val="Fontepargpadro"/>
    <w:uiPriority w:val="99"/>
    <w:semiHidden/>
    <w:unhideWhenUsed/>
    <w:rsid w:val="00B62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Nmerodelinha">
    <w:name w:val="line number"/>
    <w:basedOn w:val="Fontepargpadro"/>
    <w:uiPriority w:val="99"/>
    <w:semiHidden/>
    <w:unhideWhenUsed/>
    <w:rsid w:val="00B62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sonia.nogueira</dc:creator>
  <cp:lastModifiedBy>..</cp:lastModifiedBy>
  <cp:revision>2</cp:revision>
  <dcterms:created xsi:type="dcterms:W3CDTF">2023-07-28T11:36:00Z</dcterms:created>
  <dcterms:modified xsi:type="dcterms:W3CDTF">2023-07-28T11:36:00Z</dcterms:modified>
</cp:coreProperties>
</file>