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E2A0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Validação do método de Matéria seca e Matéria mineral: precisão, exatidão e robustez</w:t>
      </w:r>
    </w:p>
    <w:p w14:paraId="00000002" w14:textId="77777777" w:rsidR="00BE2A07" w:rsidRDefault="00BE2A07">
      <w:pPr>
        <w:jc w:val="center"/>
        <w:rPr>
          <w:b/>
          <w:sz w:val="28"/>
          <w:szCs w:val="28"/>
        </w:rPr>
      </w:pPr>
    </w:p>
    <w:p w14:paraId="00000003" w14:textId="77777777" w:rsidR="00BE2A07" w:rsidRDefault="00000000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u w:val="single"/>
        </w:rPr>
        <w:t xml:space="preserve">Matheus </w:t>
      </w:r>
      <w:proofErr w:type="spellStart"/>
      <w:r>
        <w:rPr>
          <w:sz w:val="22"/>
          <w:szCs w:val="22"/>
          <w:u w:val="single"/>
        </w:rPr>
        <w:t>Lavorante</w:t>
      </w:r>
      <w:proofErr w:type="spellEnd"/>
      <w:r>
        <w:rPr>
          <w:sz w:val="22"/>
          <w:szCs w:val="22"/>
          <w:u w:val="single"/>
        </w:rPr>
        <w:t xml:space="preserve"> Tietz </w:t>
      </w:r>
      <w:r>
        <w:rPr>
          <w:sz w:val="22"/>
          <w:szCs w:val="22"/>
          <w:u w:val="single"/>
          <w:vertAlign w:val="superscript"/>
        </w:rPr>
        <w:t>1</w:t>
      </w:r>
      <w:r>
        <w:rPr>
          <w:sz w:val="22"/>
          <w:szCs w:val="22"/>
        </w:rPr>
        <w:t>; Mateus Henrique Souza</w:t>
      </w:r>
      <w:r>
        <w:rPr>
          <w:sz w:val="22"/>
          <w:szCs w:val="22"/>
          <w:vertAlign w:val="superscript"/>
        </w:rPr>
        <w:t xml:space="preserve"> 2</w:t>
      </w:r>
      <w:r>
        <w:rPr>
          <w:sz w:val="22"/>
          <w:szCs w:val="22"/>
        </w:rPr>
        <w:t>; Heinrich Moreira</w:t>
      </w:r>
      <w:proofErr w:type="gramStart"/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;Jeysse</w:t>
      </w:r>
      <w:proofErr w:type="gramEnd"/>
      <w:r>
        <w:rPr>
          <w:sz w:val="22"/>
          <w:szCs w:val="22"/>
        </w:rPr>
        <w:t xml:space="preserve"> Fatima Duarte</w:t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Reinivaldo</w:t>
      </w:r>
      <w:proofErr w:type="spellEnd"/>
      <w:r>
        <w:rPr>
          <w:sz w:val="22"/>
          <w:szCs w:val="22"/>
        </w:rPr>
        <w:t xml:space="preserve"> Sergio Ferraz Junior</w:t>
      </w:r>
      <w:r>
        <w:rPr>
          <w:sz w:val="22"/>
          <w:szCs w:val="22"/>
          <w:vertAlign w:val="superscript"/>
        </w:rPr>
        <w:t>5</w:t>
      </w:r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Avelardo</w:t>
      </w:r>
      <w:proofErr w:type="spellEnd"/>
      <w:r>
        <w:rPr>
          <w:sz w:val="22"/>
          <w:szCs w:val="22"/>
        </w:rPr>
        <w:t xml:space="preserve"> Urano de Carvalho Ferreira</w:t>
      </w:r>
      <w:r>
        <w:rPr>
          <w:sz w:val="22"/>
          <w:szCs w:val="22"/>
          <w:vertAlign w:val="superscript"/>
        </w:rPr>
        <w:t>5</w:t>
      </w:r>
    </w:p>
    <w:p w14:paraId="00000004" w14:textId="77777777" w:rsidR="00BE2A07" w:rsidRDefault="00BE2A07">
      <w:pPr>
        <w:shd w:val="clear" w:color="auto" w:fill="FFFFFF"/>
        <w:jc w:val="center"/>
      </w:pPr>
    </w:p>
    <w:p w14:paraId="00000005" w14:textId="77777777" w:rsidR="00BE2A07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Aluno de graduação em Bacharel em Química, Universidade de São Paulo, São Carlos, SP. Não Bolsista PIBIC/CNPq, Embrapa Pecuária Sudeste, São Carlos, SP; matheustietz45@gmail.com.</w:t>
      </w:r>
    </w:p>
    <w:p w14:paraId="00000006" w14:textId="77777777" w:rsidR="00BE2A07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Aluno de graduação de bacharelado em química, Universidade Federal de São Carlos, São Carlos - SP.</w:t>
      </w:r>
    </w:p>
    <w:p w14:paraId="00000007" w14:textId="77777777" w:rsidR="00BE2A07" w:rsidRDefault="00000000">
      <w:pPr>
        <w:rPr>
          <w:sz w:val="18"/>
          <w:szCs w:val="18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Graduado em Química, Universidade de São Paulo, São Carlos, SP.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r>
        <w:rPr>
          <w:color w:val="222222"/>
          <w:sz w:val="20"/>
          <w:szCs w:val="20"/>
          <w:highlight w:val="white"/>
        </w:rPr>
        <w:t>CNPq/Embrapa Pecuária Sudeste</w:t>
      </w:r>
    </w:p>
    <w:p w14:paraId="00000008" w14:textId="77777777" w:rsidR="00BE2A07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Aluna de graduação em Licenciatura em </w:t>
      </w:r>
      <w:proofErr w:type="gramStart"/>
      <w:r>
        <w:rPr>
          <w:sz w:val="20"/>
          <w:szCs w:val="20"/>
        </w:rPr>
        <w:t>Química ,</w:t>
      </w:r>
      <w:proofErr w:type="gramEnd"/>
      <w:r>
        <w:rPr>
          <w:sz w:val="20"/>
          <w:szCs w:val="20"/>
        </w:rPr>
        <w:t xml:space="preserve"> Universidade Federal de São Carlos, São Carlos - SP. </w:t>
      </w:r>
    </w:p>
    <w:p w14:paraId="00000009" w14:textId="77777777" w:rsidR="00BE2A07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5 </w:t>
      </w:r>
      <w:r>
        <w:rPr>
          <w:sz w:val="20"/>
          <w:szCs w:val="20"/>
        </w:rPr>
        <w:t>Analista, Embrapa Pecuária Sudeste, São Carlos, SP.</w:t>
      </w:r>
    </w:p>
    <w:p w14:paraId="0000000A" w14:textId="77777777" w:rsidR="00BE2A07" w:rsidRDefault="00BE2A07"/>
    <w:p w14:paraId="0000000B" w14:textId="77777777" w:rsidR="00BE2A07" w:rsidRPr="00BD51C5" w:rsidRDefault="00000000">
      <w:sdt>
        <w:sdtPr>
          <w:tag w:val="goog_rdk_0"/>
          <w:id w:val="1471557204"/>
        </w:sdtPr>
        <w:sdtEndPr/>
        <w:sdtContent>
          <w:r w:rsidRPr="00BD51C5">
            <w:rPr>
              <w:rFonts w:eastAsia="Gungsuh"/>
            </w:rPr>
            <w:t xml:space="preserve">Visando correta armazenagem e pesagens durante as análises, as amostras encaminhadas ao Laboratório de Nutrição Animal devem ser secas, porém a umidade original deve ser conhecida. A composição centesimal da amostra é expressa com base no teor de matéria seca (MS), que é a fração de uma amostra descontada a quantidade de umidade presente. O teor de material mineral (MM) se refere a quantidade de material não orgânico presente e é obtido a partir da calcinação das amostras em mufla, com temperaturas superiores a 500 ºC. Desta forma, toda a matéria orgânica é transformada em CO2, restando </w:t>
          </w:r>
          <w:proofErr w:type="gramStart"/>
          <w:r w:rsidRPr="00BD51C5">
            <w:rPr>
              <w:rFonts w:eastAsia="Gungsuh"/>
            </w:rPr>
            <w:t>os macro</w:t>
          </w:r>
          <w:proofErr w:type="gramEnd"/>
          <w:r w:rsidRPr="00BD51C5">
            <w:rPr>
              <w:rFonts w:eastAsia="Gungsuh"/>
            </w:rPr>
            <w:t xml:space="preserve"> e micronutrientes inorgânicos presentes na amostra. Este estudo foi realizado visando avaliar a repetibilidade, reprodutibilidade e robustez das determinações da MS e MM em amostras com resultados conhecidos a partir de ensaios de proficiência. Primeiramente foi avaliada a precisão nas condições de repetibilidade a partir de 8 </w:t>
          </w:r>
          <w:proofErr w:type="spellStart"/>
          <w:r w:rsidRPr="00BD51C5">
            <w:rPr>
              <w:rFonts w:eastAsia="Gungsuh"/>
            </w:rPr>
            <w:t>replicatas</w:t>
          </w:r>
          <w:proofErr w:type="spellEnd"/>
          <w:r w:rsidRPr="00BD51C5">
            <w:rPr>
              <w:rFonts w:eastAsia="Gungsuh"/>
            </w:rPr>
            <w:t xml:space="preserve"> das amostras braquiária, farelo de soja e grãos secos de destilaria (DDG), obtidos a partir de rodadas de ensaio de proficiência de análises de nutrição animal (EPCBO 12ª Edição). Um único analista se envolveu durante todo o processo, utilizando os mesmos equipamentos, como balança analítica, estufa, dessecador e mufla. A seguir foi avaliada a precisão intermediária, na qual foram variados os analistas, equipamentos e o período de determinação. Por fim foi realizado o teste de </w:t>
          </w:r>
          <w:proofErr w:type="spellStart"/>
          <w:r w:rsidRPr="00BD51C5">
            <w:rPr>
              <w:rFonts w:eastAsia="Gungsuh"/>
            </w:rPr>
            <w:t>Youden</w:t>
          </w:r>
          <w:proofErr w:type="spellEnd"/>
          <w:r w:rsidRPr="00BD51C5">
            <w:rPr>
              <w:rFonts w:eastAsia="Gungsuh"/>
            </w:rPr>
            <w:t xml:space="preserve">, parâmetro opcional na validação de métodos analíticos que possibilita avaliar a robustez do método. Foram selecionadas sete variáveis: número de cadinhos em um mesmo dessecador após a secagem da MS (sobrecarregados os dispersos), massa da amostra (1,0 ou 0,5 g), tempo no dessecador (60 min ou &gt; 120 min), tempo na estufa a 105 0C (6 ou 15 h), rampa de aquecimento na mufla (570 ou 600 0C) e tempo de queima (220 ou 250 min). Os resultados foram descritos em termos de veracidade e precisão. Para a MS os valores de recuperação obtidos para braquiária, farelo de soja e DDG foram, respectivamente, 99,69%; 100,60% e 100,26% e para MM foram, respectivamente 99,43%; 107,59% e 76,39%. Os desvios padrão relativos de precisão intermediária estimados para MS foram 0,46%; 0,38% e 0,37% respectivamente para braquiária, farelo de soja e DDG e para MM foram, respectivamente, 4,90%; 2,35% e 6,30%. Os métodos analisados demonstraram robustez para as condições escolhidas, uma vez que as variáveis com efeitos significativos no teste de </w:t>
          </w:r>
          <w:proofErr w:type="spellStart"/>
          <w:r w:rsidRPr="00BD51C5">
            <w:rPr>
              <w:rFonts w:eastAsia="Gungsuh"/>
            </w:rPr>
            <w:t>Youden</w:t>
          </w:r>
          <w:proofErr w:type="spellEnd"/>
          <w:r w:rsidRPr="00BD51C5">
            <w:rPr>
              <w:rFonts w:eastAsia="Gungsuh"/>
            </w:rPr>
            <w:t xml:space="preserve"> apresentaram a diferença média dos resultados entre os níveis estudados com valor absoluto superior ao desvio padrão*√2.</w:t>
          </w:r>
        </w:sdtContent>
      </w:sdt>
    </w:p>
    <w:p w14:paraId="0000000C" w14:textId="77777777" w:rsidR="00BE2A07" w:rsidRDefault="00BE2A07">
      <w:pPr>
        <w:pBdr>
          <w:top w:val="nil"/>
          <w:left w:val="nil"/>
          <w:bottom w:val="nil"/>
          <w:right w:val="nil"/>
          <w:between w:val="nil"/>
        </w:pBdr>
        <w:rPr>
          <w:highlight w:val="white"/>
        </w:rPr>
      </w:pPr>
    </w:p>
    <w:p w14:paraId="0000000D" w14:textId="77777777" w:rsidR="00BE2A07" w:rsidRDefault="00BE2A07">
      <w:pPr>
        <w:pBdr>
          <w:top w:val="nil"/>
          <w:left w:val="nil"/>
          <w:bottom w:val="nil"/>
          <w:right w:val="nil"/>
          <w:between w:val="nil"/>
        </w:pBdr>
        <w:rPr>
          <w:highlight w:val="white"/>
        </w:rPr>
      </w:pPr>
    </w:p>
    <w:p w14:paraId="0000000E" w14:textId="77777777" w:rsidR="00BE2A0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Apoio financeiro:</w:t>
      </w:r>
      <w:r>
        <w:rPr>
          <w:color w:val="000000"/>
          <w:sz w:val="20"/>
          <w:szCs w:val="20"/>
        </w:rPr>
        <w:t xml:space="preserve"> Embrapa</w:t>
      </w:r>
    </w:p>
    <w:p w14:paraId="0000000F" w14:textId="77777777" w:rsidR="00BE2A0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Área: </w:t>
      </w:r>
      <w:r>
        <w:rPr>
          <w:color w:val="000000"/>
          <w:sz w:val="20"/>
          <w:szCs w:val="20"/>
        </w:rPr>
        <w:t>Química</w:t>
      </w:r>
    </w:p>
    <w:p w14:paraId="00000010" w14:textId="77777777" w:rsidR="00BE2A0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Palavras-chave</w:t>
      </w:r>
      <w:r>
        <w:rPr>
          <w:color w:val="000000"/>
          <w:sz w:val="20"/>
          <w:szCs w:val="20"/>
        </w:rPr>
        <w:t xml:space="preserve">: Matéria seca, </w:t>
      </w:r>
      <w:proofErr w:type="spellStart"/>
      <w:r>
        <w:rPr>
          <w:color w:val="000000"/>
          <w:sz w:val="20"/>
          <w:szCs w:val="20"/>
        </w:rPr>
        <w:t>Youden</w:t>
      </w:r>
      <w:proofErr w:type="spellEnd"/>
      <w:r>
        <w:rPr>
          <w:sz w:val="20"/>
          <w:szCs w:val="20"/>
        </w:rPr>
        <w:t>, robustez, repetibilidade</w:t>
      </w:r>
    </w:p>
    <w:sectPr w:rsidR="00BE2A07" w:rsidSect="00BD51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09A5" w14:textId="77777777" w:rsidR="00E254B9" w:rsidRDefault="00E254B9">
      <w:r>
        <w:separator/>
      </w:r>
    </w:p>
  </w:endnote>
  <w:endnote w:type="continuationSeparator" w:id="0">
    <w:p w14:paraId="3A3F1E01" w14:textId="77777777" w:rsidR="00E254B9" w:rsidRDefault="00E2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BE2A07" w:rsidRDefault="00BE2A07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ascii="Open Sans" w:eastAsia="Open Sans" w:hAnsi="Open Sans" w:cs="Open San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BE2A07" w:rsidRDefault="00BE2A07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ascii="Open Sans" w:eastAsia="Open Sans" w:hAnsi="Open Sans" w:cs="Open San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BE2A07" w:rsidRDefault="00BE2A07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ascii="Open Sans" w:eastAsia="Open Sans" w:hAnsi="Open Sans" w:cs="Open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AA39" w14:textId="77777777" w:rsidR="00E254B9" w:rsidRDefault="00E254B9">
      <w:r>
        <w:separator/>
      </w:r>
    </w:p>
  </w:footnote>
  <w:footnote w:type="continuationSeparator" w:id="0">
    <w:p w14:paraId="504AFADD" w14:textId="77777777" w:rsidR="00E254B9" w:rsidRDefault="00E2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BE2A07" w:rsidRDefault="00BE2A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left"/>
      <w:rPr>
        <w:rFonts w:ascii="Open Sans" w:eastAsia="Open Sans" w:hAnsi="Open Sans" w:cs="Open San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1" w14:textId="77777777" w:rsidR="00BE2A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Anais da 15ª Jornada Científica – Embrapa São Carlos – 22 de agosto de 2023</w:t>
    </w:r>
  </w:p>
  <w:p w14:paraId="00000012" w14:textId="77777777" w:rsidR="00BE2A07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BE2A07" w:rsidRDefault="00BE2A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left"/>
      <w:rPr>
        <w:rFonts w:ascii="Open Sans" w:eastAsia="Open Sans" w:hAnsi="Open Sans" w:cs="Open San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A07"/>
    <w:rsid w:val="00BD51C5"/>
    <w:rsid w:val="00BE2A07"/>
    <w:rsid w:val="00E2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BDFC1-7DC8-405E-A36B-D991F6A9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 w:hanging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styleId="MenoPendente">
    <w:name w:val="Unresolved Mention"/>
    <w:basedOn w:val="Fontepargpadro"/>
    <w:uiPriority w:val="99"/>
    <w:semiHidden/>
    <w:unhideWhenUsed/>
    <w:rsid w:val="00FD5E7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QZOgxlFZcAASnQi1zynf1E7XA==">CgMxLjAaFAoBMBIPCg0IB0IJEgdHdW5nc3VoOAByITFmTDNueTJDbXljQWlGaWtBdXdSZEJUZUhvXy11ZHFBVQ==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3D2FC7-22D3-426A-B77F-C80F775E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544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Hugo Soeiro</cp:lastModifiedBy>
  <cp:revision>2</cp:revision>
  <dcterms:created xsi:type="dcterms:W3CDTF">2023-07-28T01:37:00Z</dcterms:created>
  <dcterms:modified xsi:type="dcterms:W3CDTF">2023-07-28T01:37:00Z</dcterms:modified>
</cp:coreProperties>
</file>