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03213" w14:textId="00ACEF11" w:rsidR="002C0BD5" w:rsidRDefault="00B37904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 w:rsidRPr="00B37904">
        <w:rPr>
          <w:rFonts w:ascii="Times New Roman" w:hAnsi="Times New Roman" w:cs="Times New Roman"/>
          <w:b/>
          <w:snapToGrid w:val="0"/>
          <w:sz w:val="28"/>
        </w:rPr>
        <w:t xml:space="preserve">Análise da relação de preços da arroba do boi </w:t>
      </w:r>
      <w:r w:rsidR="00D406D1">
        <w:rPr>
          <w:rFonts w:ascii="Times New Roman" w:hAnsi="Times New Roman" w:cs="Times New Roman"/>
          <w:b/>
          <w:snapToGrid w:val="0"/>
          <w:sz w:val="28"/>
        </w:rPr>
        <w:t>magr</w:t>
      </w:r>
      <w:r w:rsidRPr="00B37904">
        <w:rPr>
          <w:rFonts w:ascii="Times New Roman" w:hAnsi="Times New Roman" w:cs="Times New Roman"/>
          <w:b/>
          <w:snapToGrid w:val="0"/>
          <w:sz w:val="28"/>
        </w:rPr>
        <w:t xml:space="preserve">o e boi </w:t>
      </w:r>
      <w:r w:rsidR="00D406D1">
        <w:rPr>
          <w:rFonts w:ascii="Times New Roman" w:hAnsi="Times New Roman" w:cs="Times New Roman"/>
          <w:b/>
          <w:snapToGrid w:val="0"/>
          <w:sz w:val="28"/>
        </w:rPr>
        <w:t>gord</w:t>
      </w:r>
      <w:r w:rsidRPr="00B37904">
        <w:rPr>
          <w:rFonts w:ascii="Times New Roman" w:hAnsi="Times New Roman" w:cs="Times New Roman"/>
          <w:b/>
          <w:snapToGrid w:val="0"/>
          <w:sz w:val="28"/>
        </w:rPr>
        <w:t>o no estado de São Paulo antes, durante e após os efeitos da pandemia COVID-19</w:t>
      </w:r>
    </w:p>
    <w:p w14:paraId="22803214" w14:textId="77777777" w:rsidR="00F61E4E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14:paraId="7E46C2E6" w14:textId="77777777" w:rsidR="00C601CA" w:rsidRDefault="00C601CA" w:rsidP="00C601CA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 w:rsidRPr="003B3B51">
        <w:rPr>
          <w:rFonts w:ascii="Times New Roman" w:hAnsi="Times New Roman" w:cs="Times New Roman"/>
          <w:snapToGrid w:val="0"/>
          <w:sz w:val="22"/>
          <w:szCs w:val="22"/>
          <w:u w:val="single"/>
        </w:rPr>
        <w:t>Rolando Pasquini Neto</w:t>
      </w:r>
      <w:r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Pr="008F2819">
        <w:rPr>
          <w:rFonts w:ascii="Times New Roman" w:hAnsi="Times New Roman" w:cs="Times New Roman"/>
          <w:snapToGrid w:val="0"/>
          <w:sz w:val="22"/>
          <w:szCs w:val="22"/>
        </w:rPr>
        <w:t>; Mariana Nunes Vieira de Melo</w:t>
      </w:r>
      <w:r w:rsidRPr="008F2819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Pr="008F2819">
        <w:rPr>
          <w:rFonts w:ascii="Times New Roman" w:hAnsi="Times New Roman" w:cs="Times New Roman"/>
          <w:snapToGrid w:val="0"/>
          <w:sz w:val="22"/>
          <w:szCs w:val="22"/>
        </w:rPr>
        <w:t>; Rodrigo Silva Goulart</w:t>
      </w:r>
      <w:r w:rsidRPr="008F2819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Pr="008F2819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</w:p>
    <w:p w14:paraId="7BAFE1B8" w14:textId="6F9163ED" w:rsidR="00C601CA" w:rsidRPr="002E0A8D" w:rsidRDefault="00C601CA" w:rsidP="00C601CA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 w:rsidRPr="008F2819">
        <w:rPr>
          <w:rFonts w:ascii="Times New Roman" w:hAnsi="Times New Roman" w:cs="Times New Roman"/>
          <w:snapToGrid w:val="0"/>
          <w:sz w:val="22"/>
          <w:szCs w:val="22"/>
        </w:rPr>
        <w:t>Sérgio Raposo de Medeiros</w:t>
      </w:r>
      <w:r w:rsidRPr="008F2819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  <w:r w:rsidRPr="008F2819">
        <w:rPr>
          <w:rFonts w:ascii="Times New Roman" w:hAnsi="Times New Roman" w:cs="Times New Roman"/>
          <w:snapToGrid w:val="0"/>
          <w:sz w:val="22"/>
          <w:szCs w:val="22"/>
        </w:rPr>
        <w:t>; Marcela de Mello Brandão Vinholis</w:t>
      </w:r>
      <w:r w:rsidRPr="008F2819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</w:p>
    <w:p w14:paraId="22803216" w14:textId="77777777" w:rsidR="00F61E4E" w:rsidRPr="00F61E4E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7A48CB84" w14:textId="0561E8D8" w:rsidR="000F2707" w:rsidRPr="002E0A8D" w:rsidRDefault="00F61E4E" w:rsidP="000F2707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="000F2707">
        <w:rPr>
          <w:rFonts w:ascii="Times New Roman" w:hAnsi="Times New Roman" w:cs="Times New Roman"/>
          <w:snapToGrid w:val="0"/>
          <w:sz w:val="20"/>
          <w:szCs w:val="20"/>
        </w:rPr>
        <w:t>Doutorando em Nutrição e Produção Animal, FMVZ/USP, Pirassununga, SP; netopasquini@alumni.usp.br</w:t>
      </w:r>
      <w:r w:rsidR="000F2707" w:rsidRPr="002E0A8D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22803217" w14:textId="7C1D00CD" w:rsidR="00F61E4E" w:rsidRDefault="000F2707" w:rsidP="000F2707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8F2819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Pr="008F2819">
        <w:rPr>
          <w:rFonts w:ascii="Times New Roman" w:hAnsi="Times New Roman" w:cs="Times New Roman"/>
          <w:snapToGrid w:val="0"/>
          <w:sz w:val="20"/>
          <w:szCs w:val="20"/>
        </w:rPr>
        <w:t>Mestranda em Zootecnia, FZEA/USP, Pirassunung</w:t>
      </w:r>
    </w:p>
    <w:p w14:paraId="6A4800DC" w14:textId="77777777" w:rsidR="003133BF" w:rsidRPr="008F2819" w:rsidRDefault="003133BF" w:rsidP="003133BF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8F2819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Pr="008F2819">
        <w:rPr>
          <w:rFonts w:ascii="Times New Roman" w:hAnsi="Times New Roman" w:cs="Times New Roman"/>
          <w:snapToGrid w:val="0"/>
          <w:sz w:val="20"/>
          <w:szCs w:val="20"/>
        </w:rPr>
        <w:t xml:space="preserve">Docente da FZEA/USP, Pirassununga, SP. </w:t>
      </w:r>
    </w:p>
    <w:p w14:paraId="6755D9A0" w14:textId="77777777" w:rsidR="003133BF" w:rsidRPr="008F2819" w:rsidRDefault="003133BF" w:rsidP="003133BF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8F2819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4</w:t>
      </w:r>
      <w:r w:rsidRPr="008F2819">
        <w:rPr>
          <w:rFonts w:ascii="Times New Roman" w:hAnsi="Times New Roman" w:cs="Times New Roman"/>
          <w:snapToGrid w:val="0"/>
          <w:sz w:val="20"/>
          <w:szCs w:val="20"/>
        </w:rPr>
        <w:t>Pesquisador</w:t>
      </w:r>
      <w:r>
        <w:rPr>
          <w:rFonts w:ascii="Times New Roman" w:hAnsi="Times New Roman" w:cs="Times New Roman"/>
          <w:snapToGrid w:val="0"/>
          <w:sz w:val="20"/>
          <w:szCs w:val="20"/>
        </w:rPr>
        <w:t>(a)</w:t>
      </w:r>
      <w:r w:rsidRPr="008F2819">
        <w:rPr>
          <w:rFonts w:ascii="Times New Roman" w:hAnsi="Times New Roman" w:cs="Times New Roman"/>
          <w:snapToGrid w:val="0"/>
          <w:sz w:val="20"/>
          <w:szCs w:val="20"/>
        </w:rPr>
        <w:t xml:space="preserve"> da Embrapa Pecuária Sudeste, São Carlos, SP.</w:t>
      </w:r>
    </w:p>
    <w:p w14:paraId="2280321D" w14:textId="77777777" w:rsidR="00F61E4E" w:rsidRPr="00F61E4E" w:rsidRDefault="00F61E4E" w:rsidP="00F61E4E">
      <w:pPr>
        <w:jc w:val="both"/>
        <w:rPr>
          <w:rFonts w:ascii="Times New Roman" w:hAnsi="Times New Roman" w:cs="Times New Roman"/>
        </w:rPr>
      </w:pPr>
    </w:p>
    <w:p w14:paraId="2280321E" w14:textId="5DC42EDA" w:rsidR="00F61E4E" w:rsidRPr="00F61E4E" w:rsidRDefault="00F14947" w:rsidP="00F61E4E">
      <w:pPr>
        <w:pStyle w:val="Corpodetexto"/>
        <w:spacing w:line="240" w:lineRule="auto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>Compreender o comportamento dos fatores que influenciam a formação dos preços é uma ferramenta essencial para tomar decisões mais assertivas frente às oscilações do mercado, contribuindo para a maximização da rentabilidade. Nesse contexto, o preço do boi gordo é um dos principais condicionantes do valor do boi magro e de outras categorias animais. Além disso, os conceitos de ágio e deságio são amplamente utilizados para caracterizar a relação entre estas categorias, refletindo o desequilíbrio entre a oferta e demanda. Portanto, o</w:t>
      </w:r>
      <w:r w:rsidRPr="00841238">
        <w:rPr>
          <w:rFonts w:ascii="Times New Roman" w:hAnsi="Times New Roman"/>
          <w:snapToGrid w:val="0"/>
        </w:rPr>
        <w:t xml:space="preserve"> objetivo deste estudo foi analisar o comportamento d</w:t>
      </w:r>
      <w:r>
        <w:rPr>
          <w:rFonts w:ascii="Times New Roman" w:hAnsi="Times New Roman"/>
          <w:snapToGrid w:val="0"/>
        </w:rPr>
        <w:t xml:space="preserve">os preços do boi gordo e boi magro, bem como </w:t>
      </w:r>
      <w:r w:rsidRPr="00841238">
        <w:rPr>
          <w:rFonts w:ascii="Times New Roman" w:hAnsi="Times New Roman"/>
          <w:snapToGrid w:val="0"/>
        </w:rPr>
        <w:t>sua inter-relação</w:t>
      </w:r>
      <w:r>
        <w:rPr>
          <w:rFonts w:ascii="Times New Roman" w:hAnsi="Times New Roman"/>
          <w:snapToGrid w:val="0"/>
        </w:rPr>
        <w:t xml:space="preserve"> durante o período de maio de 2017 a maio </w:t>
      </w:r>
      <w:r w:rsidRPr="00841238">
        <w:rPr>
          <w:rFonts w:ascii="Times New Roman" w:hAnsi="Times New Roman"/>
          <w:snapToGrid w:val="0"/>
        </w:rPr>
        <w:t>de 202</w:t>
      </w:r>
      <w:r>
        <w:rPr>
          <w:rFonts w:ascii="Times New Roman" w:hAnsi="Times New Roman"/>
          <w:snapToGrid w:val="0"/>
        </w:rPr>
        <w:t>5, abrangendo os períodos: pré-pandemia (maio/2017 a fevereiro/2020), pandemia (março/2020 a maio/2022) e efeitos pós-pandemia (maio/2022 a maio/2025) de COVID-19</w:t>
      </w:r>
      <w:r w:rsidRPr="00841238">
        <w:rPr>
          <w:rFonts w:ascii="Times New Roman" w:hAnsi="Times New Roman"/>
          <w:snapToGrid w:val="0"/>
        </w:rPr>
        <w:t>.</w:t>
      </w:r>
      <w:r>
        <w:rPr>
          <w:rFonts w:ascii="Times New Roman" w:hAnsi="Times New Roman"/>
          <w:snapToGrid w:val="0"/>
        </w:rPr>
        <w:t xml:space="preserve"> Os dados foram levantados na base de cotações públicas da empresa </w:t>
      </w:r>
      <w:r w:rsidRPr="00410057">
        <w:rPr>
          <w:rFonts w:ascii="Times New Roman" w:hAnsi="Times New Roman"/>
          <w:snapToGrid w:val="0"/>
        </w:rPr>
        <w:t>Scot Consultoria® (Bebedouro, São Paulo, BRA)</w:t>
      </w:r>
      <w:r>
        <w:rPr>
          <w:rFonts w:ascii="Times New Roman" w:hAnsi="Times New Roman"/>
          <w:snapToGrid w:val="0"/>
        </w:rPr>
        <w:t xml:space="preserve"> e os preços boi gordo e boi magro </w:t>
      </w:r>
      <w:r w:rsidR="00827461">
        <w:rPr>
          <w:rFonts w:ascii="Times New Roman" w:hAnsi="Times New Roman"/>
          <w:snapToGrid w:val="0"/>
        </w:rPr>
        <w:t>do estado de São Paulo</w:t>
      </w:r>
      <w:r w:rsidR="00517896">
        <w:rPr>
          <w:rFonts w:ascii="Times New Roman" w:hAnsi="Times New Roman"/>
          <w:snapToGrid w:val="0"/>
        </w:rPr>
        <w:t xml:space="preserve"> </w:t>
      </w:r>
      <w:r w:rsidR="003C6915">
        <w:rPr>
          <w:rFonts w:ascii="Times New Roman" w:hAnsi="Times New Roman"/>
          <w:snapToGrid w:val="0"/>
        </w:rPr>
        <w:t>(</w:t>
      </w:r>
      <w:r w:rsidR="006F5B34">
        <w:rPr>
          <w:rFonts w:ascii="Times New Roman" w:hAnsi="Times New Roman"/>
          <w:snapToGrid w:val="0"/>
        </w:rPr>
        <w:t xml:space="preserve">19.5@ e </w:t>
      </w:r>
      <w:r w:rsidR="003C6915">
        <w:rPr>
          <w:rFonts w:ascii="Times New Roman" w:hAnsi="Times New Roman"/>
          <w:snapToGrid w:val="0"/>
        </w:rPr>
        <w:t>12.5@</w:t>
      </w:r>
      <w:r w:rsidR="006F5B34">
        <w:rPr>
          <w:rFonts w:ascii="Times New Roman" w:hAnsi="Times New Roman"/>
          <w:snapToGrid w:val="0"/>
        </w:rPr>
        <w:t xml:space="preserve"> de carcaça, respectivamente</w:t>
      </w:r>
      <w:r w:rsidR="005B6FD7">
        <w:rPr>
          <w:rFonts w:ascii="Times New Roman" w:hAnsi="Times New Roman"/>
          <w:snapToGrid w:val="0"/>
        </w:rPr>
        <w:t>)</w:t>
      </w:r>
      <w:r>
        <w:rPr>
          <w:rFonts w:ascii="Times New Roman" w:hAnsi="Times New Roman"/>
          <w:snapToGrid w:val="0"/>
        </w:rPr>
        <w:t>, expressos em R$/@ foram corrigidos pela inflação por meio do Índice Geral de Preços – Disponibilidade Interna (IGP-DI), tendo como referência o mês de maio</w:t>
      </w:r>
      <w:r w:rsidR="00391772">
        <w:rPr>
          <w:rFonts w:ascii="Times New Roman" w:hAnsi="Times New Roman"/>
          <w:snapToGrid w:val="0"/>
        </w:rPr>
        <w:t xml:space="preserve"> de </w:t>
      </w:r>
      <w:r>
        <w:rPr>
          <w:rFonts w:ascii="Times New Roman" w:hAnsi="Times New Roman"/>
          <w:snapToGrid w:val="0"/>
        </w:rPr>
        <w:t>2025. A relação</w:t>
      </w:r>
      <w:r w:rsidR="005610A1">
        <w:rPr>
          <w:rFonts w:ascii="Times New Roman" w:hAnsi="Times New Roman"/>
          <w:snapToGrid w:val="0"/>
        </w:rPr>
        <w:t xml:space="preserve"> </w:t>
      </w:r>
      <w:r>
        <w:rPr>
          <w:rFonts w:ascii="Times New Roman" w:hAnsi="Times New Roman"/>
          <w:snapToGrid w:val="0"/>
        </w:rPr>
        <w:t xml:space="preserve">(ágio ou deságio, %) foi calculada pela razão entre preço da @ do boi </w:t>
      </w:r>
      <w:r w:rsidR="00D44587">
        <w:rPr>
          <w:rFonts w:ascii="Times New Roman" w:hAnsi="Times New Roman"/>
          <w:snapToGrid w:val="0"/>
        </w:rPr>
        <w:t>magr</w:t>
      </w:r>
      <w:r>
        <w:rPr>
          <w:rFonts w:ascii="Times New Roman" w:hAnsi="Times New Roman"/>
          <w:snapToGrid w:val="0"/>
        </w:rPr>
        <w:t xml:space="preserve">o e boi </w:t>
      </w:r>
      <w:r w:rsidR="00673603">
        <w:rPr>
          <w:rFonts w:ascii="Times New Roman" w:hAnsi="Times New Roman"/>
          <w:snapToGrid w:val="0"/>
        </w:rPr>
        <w:t>gord</w:t>
      </w:r>
      <w:r>
        <w:rPr>
          <w:rFonts w:ascii="Times New Roman" w:hAnsi="Times New Roman"/>
          <w:snapToGrid w:val="0"/>
        </w:rPr>
        <w:t xml:space="preserve">o, multiplicado por 100; enquanto a volatilidade (%) em função dos desvios padrões históricos. </w:t>
      </w:r>
      <w:r w:rsidRPr="002174DE">
        <w:rPr>
          <w:rFonts w:ascii="Times New Roman" w:hAnsi="Times New Roman"/>
          <w:snapToGrid w:val="0"/>
        </w:rPr>
        <w:t xml:space="preserve">No período anterior a pandemia, </w:t>
      </w:r>
      <w:r w:rsidRPr="00917C5D">
        <w:rPr>
          <w:rFonts w:ascii="Times New Roman" w:hAnsi="Times New Roman"/>
          <w:snapToGrid w:val="0"/>
        </w:rPr>
        <w:t xml:space="preserve">observou-se menor oscilação, refletindo uma relação equilibrada no mercado, </w:t>
      </w:r>
      <w:r w:rsidR="00BF25AD">
        <w:rPr>
          <w:rFonts w:ascii="Times New Roman" w:hAnsi="Times New Roman"/>
          <w:snapToGrid w:val="0"/>
        </w:rPr>
        <w:t>com</w:t>
      </w:r>
      <w:r w:rsidR="00A466DB">
        <w:rPr>
          <w:rFonts w:ascii="Times New Roman" w:hAnsi="Times New Roman"/>
          <w:snapToGrid w:val="0"/>
        </w:rPr>
        <w:t xml:space="preserve"> uma</w:t>
      </w:r>
      <w:r w:rsidRPr="00917C5D">
        <w:rPr>
          <w:rFonts w:ascii="Times New Roman" w:hAnsi="Times New Roman"/>
          <w:snapToGrid w:val="0"/>
        </w:rPr>
        <w:t xml:space="preserve"> volatilidade de 4</w:t>
      </w:r>
      <w:r w:rsidRPr="00FE046D">
        <w:rPr>
          <w:rFonts w:ascii="Times New Roman" w:hAnsi="Times New Roman"/>
          <w:snapToGrid w:val="0"/>
        </w:rPr>
        <w:t>9.</w:t>
      </w:r>
      <w:r w:rsidR="00917C5D" w:rsidRPr="00FE046D">
        <w:rPr>
          <w:rFonts w:ascii="Times New Roman" w:hAnsi="Times New Roman"/>
          <w:snapToGrid w:val="0"/>
        </w:rPr>
        <w:t>4</w:t>
      </w:r>
      <w:r w:rsidRPr="00FE046D">
        <w:rPr>
          <w:rFonts w:ascii="Times New Roman" w:hAnsi="Times New Roman"/>
          <w:snapToGrid w:val="0"/>
        </w:rPr>
        <w:t>%.</w:t>
      </w:r>
      <w:r w:rsidR="00BF25AD">
        <w:rPr>
          <w:rFonts w:ascii="Times New Roman" w:hAnsi="Times New Roman"/>
          <w:snapToGrid w:val="0"/>
        </w:rPr>
        <w:t xml:space="preserve"> A</w:t>
      </w:r>
      <w:r w:rsidRPr="00FE046D">
        <w:rPr>
          <w:rFonts w:ascii="Times New Roman" w:hAnsi="Times New Roman"/>
          <w:snapToGrid w:val="0"/>
        </w:rPr>
        <w:t xml:space="preserve"> amplitude neste período atingiu </w:t>
      </w:r>
      <w:r w:rsidR="00827563">
        <w:rPr>
          <w:rFonts w:ascii="Times New Roman" w:hAnsi="Times New Roman"/>
          <w:snapToGrid w:val="0"/>
        </w:rPr>
        <w:t xml:space="preserve">um </w:t>
      </w:r>
      <w:r w:rsidR="00A81C96">
        <w:rPr>
          <w:rFonts w:ascii="Times New Roman" w:hAnsi="Times New Roman"/>
          <w:snapToGrid w:val="0"/>
        </w:rPr>
        <w:t xml:space="preserve">valor </w:t>
      </w:r>
      <w:r w:rsidR="00A81C96" w:rsidRPr="00FE046D">
        <w:rPr>
          <w:rFonts w:ascii="Times New Roman" w:hAnsi="Times New Roman"/>
          <w:snapToGrid w:val="0"/>
        </w:rPr>
        <w:t xml:space="preserve">máximo de </w:t>
      </w:r>
      <w:r w:rsidR="00827563">
        <w:rPr>
          <w:rFonts w:ascii="Times New Roman" w:hAnsi="Times New Roman"/>
          <w:snapToGrid w:val="0"/>
        </w:rPr>
        <w:t xml:space="preserve">ágio de </w:t>
      </w:r>
      <w:r w:rsidR="00A81C96" w:rsidRPr="00FE046D">
        <w:rPr>
          <w:rFonts w:ascii="Times New Roman" w:hAnsi="Times New Roman"/>
          <w:snapToGrid w:val="0"/>
        </w:rPr>
        <w:t xml:space="preserve">16.7% </w:t>
      </w:r>
      <w:r w:rsidR="00911351">
        <w:rPr>
          <w:rFonts w:ascii="Times New Roman" w:hAnsi="Times New Roman"/>
          <w:snapToGrid w:val="0"/>
        </w:rPr>
        <w:t>(</w:t>
      </w:r>
      <w:r w:rsidR="00A81C96" w:rsidRPr="00FE046D">
        <w:rPr>
          <w:rFonts w:ascii="Times New Roman" w:hAnsi="Times New Roman"/>
          <w:snapToGrid w:val="0"/>
        </w:rPr>
        <w:t>junho/2019</w:t>
      </w:r>
      <w:r w:rsidR="00911351">
        <w:rPr>
          <w:rFonts w:ascii="Times New Roman" w:hAnsi="Times New Roman"/>
          <w:snapToGrid w:val="0"/>
        </w:rPr>
        <w:t>)</w:t>
      </w:r>
      <w:r w:rsidR="007B3680">
        <w:rPr>
          <w:rFonts w:ascii="Times New Roman" w:hAnsi="Times New Roman"/>
          <w:snapToGrid w:val="0"/>
        </w:rPr>
        <w:t xml:space="preserve"> </w:t>
      </w:r>
      <w:r w:rsidR="00BA02CD">
        <w:rPr>
          <w:rFonts w:ascii="Times New Roman" w:hAnsi="Times New Roman"/>
          <w:snapToGrid w:val="0"/>
        </w:rPr>
        <w:t>e</w:t>
      </w:r>
      <w:r w:rsidR="007B3680">
        <w:rPr>
          <w:rFonts w:ascii="Times New Roman" w:hAnsi="Times New Roman"/>
          <w:snapToGrid w:val="0"/>
        </w:rPr>
        <w:t xml:space="preserve"> </w:t>
      </w:r>
      <w:r w:rsidR="00587F10">
        <w:rPr>
          <w:rFonts w:ascii="Times New Roman" w:hAnsi="Times New Roman"/>
          <w:snapToGrid w:val="0"/>
        </w:rPr>
        <w:t xml:space="preserve">um </w:t>
      </w:r>
      <w:r w:rsidR="007A0516">
        <w:rPr>
          <w:rFonts w:ascii="Times New Roman" w:hAnsi="Times New Roman"/>
          <w:snapToGrid w:val="0"/>
        </w:rPr>
        <w:t xml:space="preserve">momento de </w:t>
      </w:r>
      <w:r w:rsidR="00587F10" w:rsidRPr="00587F10">
        <w:rPr>
          <w:rFonts w:ascii="Times New Roman" w:hAnsi="Times New Roman"/>
          <w:snapToGrid w:val="0"/>
        </w:rPr>
        <w:t>deságio</w:t>
      </w:r>
      <w:r w:rsidR="00587F10">
        <w:rPr>
          <w:rFonts w:ascii="Times New Roman" w:hAnsi="Times New Roman"/>
          <w:snapToGrid w:val="0"/>
        </w:rPr>
        <w:t xml:space="preserve"> </w:t>
      </w:r>
      <w:r w:rsidRPr="00FE046D">
        <w:rPr>
          <w:rFonts w:ascii="Times New Roman" w:hAnsi="Times New Roman"/>
          <w:snapToGrid w:val="0"/>
        </w:rPr>
        <w:t xml:space="preserve">de </w:t>
      </w:r>
      <w:r w:rsidR="00660FF1" w:rsidRPr="00FE046D">
        <w:rPr>
          <w:rFonts w:ascii="Times New Roman" w:hAnsi="Times New Roman"/>
          <w:snapToGrid w:val="0"/>
        </w:rPr>
        <w:t>8</w:t>
      </w:r>
      <w:r w:rsidRPr="00FE046D">
        <w:rPr>
          <w:rFonts w:ascii="Times New Roman" w:hAnsi="Times New Roman"/>
          <w:snapToGrid w:val="0"/>
        </w:rPr>
        <w:t>.</w:t>
      </w:r>
      <w:r w:rsidR="00660FF1" w:rsidRPr="00FE046D">
        <w:rPr>
          <w:rFonts w:ascii="Times New Roman" w:hAnsi="Times New Roman"/>
          <w:snapToGrid w:val="0"/>
        </w:rPr>
        <w:t>2</w:t>
      </w:r>
      <w:r w:rsidRPr="00FE046D">
        <w:rPr>
          <w:rFonts w:ascii="Times New Roman" w:hAnsi="Times New Roman"/>
          <w:snapToGrid w:val="0"/>
        </w:rPr>
        <w:t>%</w:t>
      </w:r>
      <w:r w:rsidR="00BA02CD">
        <w:rPr>
          <w:rFonts w:ascii="Times New Roman" w:hAnsi="Times New Roman"/>
          <w:snapToGrid w:val="0"/>
        </w:rPr>
        <w:t xml:space="preserve"> (</w:t>
      </w:r>
      <w:r w:rsidR="00660FF1" w:rsidRPr="00FE046D">
        <w:rPr>
          <w:rFonts w:ascii="Times New Roman" w:hAnsi="Times New Roman"/>
          <w:snapToGrid w:val="0"/>
        </w:rPr>
        <w:t>novembr</w:t>
      </w:r>
      <w:r w:rsidRPr="00FE046D">
        <w:rPr>
          <w:rFonts w:ascii="Times New Roman" w:hAnsi="Times New Roman"/>
          <w:snapToGrid w:val="0"/>
        </w:rPr>
        <w:t>o/2019</w:t>
      </w:r>
      <w:r w:rsidR="00BA02CD">
        <w:rPr>
          <w:rFonts w:ascii="Times New Roman" w:hAnsi="Times New Roman"/>
          <w:snapToGrid w:val="0"/>
        </w:rPr>
        <w:t>)</w:t>
      </w:r>
      <w:r w:rsidRPr="00F32435">
        <w:rPr>
          <w:rFonts w:ascii="Times New Roman" w:hAnsi="Times New Roman"/>
          <w:snapToGrid w:val="0"/>
        </w:rPr>
        <w:t xml:space="preserve">. Durante a pandemia, as oscilações </w:t>
      </w:r>
      <w:r w:rsidR="00F32435" w:rsidRPr="00F32435">
        <w:rPr>
          <w:rFonts w:ascii="Times New Roman" w:hAnsi="Times New Roman"/>
          <w:snapToGrid w:val="0"/>
        </w:rPr>
        <w:t>aument</w:t>
      </w:r>
      <w:r w:rsidRPr="00F32435">
        <w:rPr>
          <w:rFonts w:ascii="Times New Roman" w:hAnsi="Times New Roman"/>
          <w:snapToGrid w:val="0"/>
        </w:rPr>
        <w:t>aram</w:t>
      </w:r>
      <w:r w:rsidR="007A0516">
        <w:rPr>
          <w:rFonts w:ascii="Times New Roman" w:hAnsi="Times New Roman"/>
          <w:snapToGrid w:val="0"/>
        </w:rPr>
        <w:t xml:space="preserve">, atingindo uma </w:t>
      </w:r>
      <w:r w:rsidRPr="00F32435">
        <w:rPr>
          <w:rFonts w:ascii="Times New Roman" w:hAnsi="Times New Roman"/>
          <w:snapToGrid w:val="0"/>
        </w:rPr>
        <w:t xml:space="preserve">volatilidade de </w:t>
      </w:r>
      <w:r w:rsidR="00F32435" w:rsidRPr="00F32435">
        <w:rPr>
          <w:rFonts w:ascii="Times New Roman" w:hAnsi="Times New Roman"/>
          <w:snapToGrid w:val="0"/>
        </w:rPr>
        <w:t>5</w:t>
      </w:r>
      <w:r w:rsidRPr="00F32435">
        <w:rPr>
          <w:rFonts w:ascii="Times New Roman" w:hAnsi="Times New Roman"/>
          <w:snapToGrid w:val="0"/>
        </w:rPr>
        <w:t>4.</w:t>
      </w:r>
      <w:r w:rsidR="00F32435" w:rsidRPr="00F32435">
        <w:rPr>
          <w:rFonts w:ascii="Times New Roman" w:hAnsi="Times New Roman"/>
          <w:snapToGrid w:val="0"/>
        </w:rPr>
        <w:t>2</w:t>
      </w:r>
      <w:r w:rsidRPr="00F32435">
        <w:rPr>
          <w:rFonts w:ascii="Times New Roman" w:hAnsi="Times New Roman"/>
          <w:snapToGrid w:val="0"/>
        </w:rPr>
        <w:t>% devido as instabilidades econômicas ocasionadas pelas incertezas do mercado</w:t>
      </w:r>
      <w:r w:rsidR="006F3FD1">
        <w:rPr>
          <w:rFonts w:ascii="Times New Roman" w:hAnsi="Times New Roman"/>
          <w:snapToGrid w:val="0"/>
        </w:rPr>
        <w:t>.</w:t>
      </w:r>
      <w:r w:rsidR="00BA02CD">
        <w:rPr>
          <w:rFonts w:ascii="Times New Roman" w:hAnsi="Times New Roman"/>
          <w:snapToGrid w:val="0"/>
        </w:rPr>
        <w:t xml:space="preserve"> N</w:t>
      </w:r>
      <w:r w:rsidR="006F3FD1">
        <w:rPr>
          <w:rFonts w:ascii="Times New Roman" w:hAnsi="Times New Roman"/>
          <w:snapToGrid w:val="0"/>
        </w:rPr>
        <w:t>este período</w:t>
      </w:r>
      <w:r w:rsidR="00B72F3A">
        <w:rPr>
          <w:rFonts w:ascii="Times New Roman" w:hAnsi="Times New Roman"/>
          <w:snapToGrid w:val="0"/>
        </w:rPr>
        <w:t xml:space="preserve"> não foram verificadas </w:t>
      </w:r>
      <w:r w:rsidR="007B3680">
        <w:rPr>
          <w:rFonts w:ascii="Times New Roman" w:hAnsi="Times New Roman"/>
          <w:snapToGrid w:val="0"/>
        </w:rPr>
        <w:t xml:space="preserve">nenhuma </w:t>
      </w:r>
      <w:r w:rsidR="00B72F3A">
        <w:rPr>
          <w:rFonts w:ascii="Times New Roman" w:hAnsi="Times New Roman"/>
          <w:snapToGrid w:val="0"/>
        </w:rPr>
        <w:t>relaç</w:t>
      </w:r>
      <w:r w:rsidR="007B3680">
        <w:rPr>
          <w:rFonts w:ascii="Times New Roman" w:hAnsi="Times New Roman"/>
          <w:snapToGrid w:val="0"/>
        </w:rPr>
        <w:t>ão</w:t>
      </w:r>
      <w:r w:rsidR="00B72F3A">
        <w:rPr>
          <w:rFonts w:ascii="Times New Roman" w:hAnsi="Times New Roman"/>
          <w:snapToGrid w:val="0"/>
        </w:rPr>
        <w:t xml:space="preserve"> de deságio</w:t>
      </w:r>
      <w:r w:rsidR="00385E88">
        <w:rPr>
          <w:rFonts w:ascii="Times New Roman" w:hAnsi="Times New Roman"/>
          <w:snapToGrid w:val="0"/>
        </w:rPr>
        <w:t xml:space="preserve"> devido ao </w:t>
      </w:r>
      <w:r w:rsidR="00385E88" w:rsidRPr="00385E88">
        <w:rPr>
          <w:rFonts w:ascii="Times New Roman" w:hAnsi="Times New Roman"/>
          <w:snapToGrid w:val="0"/>
        </w:rPr>
        <w:t>intenso volume de abate de animais jovens</w:t>
      </w:r>
      <w:r w:rsidR="00B47930">
        <w:rPr>
          <w:rFonts w:ascii="Times New Roman" w:hAnsi="Times New Roman"/>
          <w:snapToGrid w:val="0"/>
        </w:rPr>
        <w:t>, sendo</w:t>
      </w:r>
      <w:r w:rsidR="00D538ED">
        <w:rPr>
          <w:rFonts w:ascii="Times New Roman" w:hAnsi="Times New Roman"/>
          <w:snapToGrid w:val="0"/>
        </w:rPr>
        <w:t xml:space="preserve"> a partir de março/2020 a julho/2021</w:t>
      </w:r>
      <w:r w:rsidR="008F794A">
        <w:rPr>
          <w:rFonts w:ascii="Times New Roman" w:hAnsi="Times New Roman"/>
          <w:snapToGrid w:val="0"/>
        </w:rPr>
        <w:t xml:space="preserve"> observado</w:t>
      </w:r>
      <w:r w:rsidR="00D538ED">
        <w:rPr>
          <w:rFonts w:ascii="Times New Roman" w:hAnsi="Times New Roman"/>
          <w:snapToGrid w:val="0"/>
        </w:rPr>
        <w:t xml:space="preserve"> os maiores valores de ágio</w:t>
      </w:r>
      <w:r w:rsidR="00FB7AE7">
        <w:rPr>
          <w:rFonts w:ascii="Times New Roman" w:hAnsi="Times New Roman"/>
          <w:snapToGrid w:val="0"/>
        </w:rPr>
        <w:t xml:space="preserve"> em todo o período analisado</w:t>
      </w:r>
      <w:r w:rsidR="008F794A">
        <w:rPr>
          <w:rFonts w:ascii="Times New Roman" w:hAnsi="Times New Roman"/>
          <w:snapToGrid w:val="0"/>
        </w:rPr>
        <w:t xml:space="preserve"> (média de 18.7%)</w:t>
      </w:r>
      <w:r w:rsidR="00FB7AE7">
        <w:rPr>
          <w:rFonts w:ascii="Times New Roman" w:hAnsi="Times New Roman"/>
          <w:snapToGrid w:val="0"/>
        </w:rPr>
        <w:t xml:space="preserve">. Em </w:t>
      </w:r>
      <w:r w:rsidR="00B4466C">
        <w:rPr>
          <w:rFonts w:ascii="Times New Roman" w:hAnsi="Times New Roman"/>
          <w:snapToGrid w:val="0"/>
        </w:rPr>
        <w:t xml:space="preserve">abril/2020 </w:t>
      </w:r>
      <w:r w:rsidR="00FB7AE7">
        <w:rPr>
          <w:rFonts w:ascii="Times New Roman" w:hAnsi="Times New Roman"/>
          <w:snapToGrid w:val="0"/>
        </w:rPr>
        <w:t xml:space="preserve">foi </w:t>
      </w:r>
      <w:r w:rsidR="00B47930">
        <w:rPr>
          <w:rFonts w:ascii="Times New Roman" w:hAnsi="Times New Roman"/>
          <w:snapToGrid w:val="0"/>
        </w:rPr>
        <w:t>evidenciad</w:t>
      </w:r>
      <w:r w:rsidR="00B4466C">
        <w:rPr>
          <w:rFonts w:ascii="Times New Roman" w:hAnsi="Times New Roman"/>
          <w:snapToGrid w:val="0"/>
        </w:rPr>
        <w:t>o o maior</w:t>
      </w:r>
      <w:r w:rsidR="00265550">
        <w:rPr>
          <w:rFonts w:ascii="Times New Roman" w:hAnsi="Times New Roman"/>
          <w:snapToGrid w:val="0"/>
        </w:rPr>
        <w:t xml:space="preserve"> valor</w:t>
      </w:r>
      <w:r w:rsidR="00FB7AE7">
        <w:rPr>
          <w:rFonts w:ascii="Times New Roman" w:hAnsi="Times New Roman"/>
          <w:snapToGrid w:val="0"/>
        </w:rPr>
        <w:t xml:space="preserve"> (29.5%)</w:t>
      </w:r>
      <w:r w:rsidR="00B47930">
        <w:rPr>
          <w:rFonts w:ascii="Times New Roman" w:hAnsi="Times New Roman"/>
          <w:snapToGrid w:val="0"/>
        </w:rPr>
        <w:t>.</w:t>
      </w:r>
      <w:r w:rsidR="00BF45EF">
        <w:rPr>
          <w:rFonts w:ascii="Times New Roman" w:hAnsi="Times New Roman"/>
          <w:snapToGrid w:val="0"/>
        </w:rPr>
        <w:t xml:space="preserve"> </w:t>
      </w:r>
      <w:r w:rsidR="00D261FA">
        <w:rPr>
          <w:rFonts w:ascii="Times New Roman" w:hAnsi="Times New Roman"/>
          <w:snapToGrid w:val="0"/>
        </w:rPr>
        <w:t xml:space="preserve">Depois </w:t>
      </w:r>
      <w:r w:rsidR="00BF45EF">
        <w:rPr>
          <w:rFonts w:ascii="Times New Roman" w:hAnsi="Times New Roman"/>
          <w:snapToGrid w:val="0"/>
        </w:rPr>
        <w:t>deste período</w:t>
      </w:r>
      <w:r w:rsidR="00556481">
        <w:rPr>
          <w:rFonts w:ascii="Times New Roman" w:hAnsi="Times New Roman"/>
          <w:snapToGrid w:val="0"/>
        </w:rPr>
        <w:t xml:space="preserve">, </w:t>
      </w:r>
      <w:r w:rsidR="00556481" w:rsidRPr="00556481">
        <w:rPr>
          <w:rFonts w:ascii="Times New Roman" w:hAnsi="Times New Roman"/>
          <w:snapToGrid w:val="0"/>
        </w:rPr>
        <w:t xml:space="preserve">houve uma redução da oferta de animais para reposição, </w:t>
      </w:r>
      <w:r w:rsidR="00D261FA">
        <w:rPr>
          <w:rFonts w:ascii="Times New Roman" w:hAnsi="Times New Roman"/>
          <w:snapToGrid w:val="0"/>
        </w:rPr>
        <w:t xml:space="preserve">um </w:t>
      </w:r>
      <w:r w:rsidR="00556481" w:rsidRPr="00556481">
        <w:rPr>
          <w:rFonts w:ascii="Times New Roman" w:hAnsi="Times New Roman"/>
          <w:snapToGrid w:val="0"/>
        </w:rPr>
        <w:t xml:space="preserve">reflexo da retenção de fêmeas para reprodução, o que promoveu </w:t>
      </w:r>
      <w:r w:rsidR="00556481">
        <w:rPr>
          <w:rFonts w:ascii="Times New Roman" w:hAnsi="Times New Roman"/>
          <w:snapToGrid w:val="0"/>
        </w:rPr>
        <w:t>redu</w:t>
      </w:r>
      <w:r w:rsidR="00556481" w:rsidRPr="00556481">
        <w:rPr>
          <w:rFonts w:ascii="Times New Roman" w:hAnsi="Times New Roman"/>
          <w:snapToGrid w:val="0"/>
        </w:rPr>
        <w:t xml:space="preserve">ção progressiva do ágio, </w:t>
      </w:r>
      <w:r w:rsidR="00CD638B">
        <w:rPr>
          <w:rFonts w:ascii="Times New Roman" w:hAnsi="Times New Roman"/>
          <w:snapToGrid w:val="0"/>
        </w:rPr>
        <w:t>atingindo</w:t>
      </w:r>
      <w:r w:rsidR="00556481" w:rsidRPr="00556481">
        <w:rPr>
          <w:rFonts w:ascii="Times New Roman" w:hAnsi="Times New Roman"/>
          <w:snapToGrid w:val="0"/>
        </w:rPr>
        <w:t xml:space="preserve"> </w:t>
      </w:r>
      <w:r w:rsidR="00CD638B">
        <w:rPr>
          <w:rFonts w:ascii="Times New Roman" w:hAnsi="Times New Roman"/>
          <w:snapToGrid w:val="0"/>
        </w:rPr>
        <w:t xml:space="preserve">o </w:t>
      </w:r>
      <w:r w:rsidR="00556481" w:rsidRPr="00556481">
        <w:rPr>
          <w:rFonts w:ascii="Times New Roman" w:hAnsi="Times New Roman"/>
          <w:snapToGrid w:val="0"/>
        </w:rPr>
        <w:t xml:space="preserve">valor </w:t>
      </w:r>
      <w:r w:rsidR="00383B43">
        <w:rPr>
          <w:rFonts w:ascii="Times New Roman" w:hAnsi="Times New Roman"/>
          <w:snapToGrid w:val="0"/>
        </w:rPr>
        <w:t>míni</w:t>
      </w:r>
      <w:r w:rsidR="00556481" w:rsidRPr="00556481">
        <w:rPr>
          <w:rFonts w:ascii="Times New Roman" w:hAnsi="Times New Roman"/>
          <w:snapToGrid w:val="0"/>
        </w:rPr>
        <w:t xml:space="preserve">mo </w:t>
      </w:r>
      <w:r w:rsidR="00CD638B">
        <w:rPr>
          <w:rFonts w:ascii="Times New Roman" w:hAnsi="Times New Roman"/>
          <w:snapToGrid w:val="0"/>
        </w:rPr>
        <w:t>de 0</w:t>
      </w:r>
      <w:r w:rsidR="00CD638B" w:rsidRPr="00556481">
        <w:rPr>
          <w:rFonts w:ascii="Times New Roman" w:hAnsi="Times New Roman"/>
          <w:snapToGrid w:val="0"/>
        </w:rPr>
        <w:t>.</w:t>
      </w:r>
      <w:r w:rsidR="00CD638B">
        <w:rPr>
          <w:rFonts w:ascii="Times New Roman" w:hAnsi="Times New Roman"/>
          <w:snapToGrid w:val="0"/>
        </w:rPr>
        <w:t>4</w:t>
      </w:r>
      <w:r w:rsidR="00CD638B" w:rsidRPr="00556481">
        <w:rPr>
          <w:rFonts w:ascii="Times New Roman" w:hAnsi="Times New Roman"/>
          <w:snapToGrid w:val="0"/>
        </w:rPr>
        <w:t>%</w:t>
      </w:r>
      <w:r w:rsidR="00CD638B">
        <w:rPr>
          <w:rFonts w:ascii="Times New Roman" w:hAnsi="Times New Roman"/>
          <w:snapToGrid w:val="0"/>
        </w:rPr>
        <w:t xml:space="preserve"> (</w:t>
      </w:r>
      <w:r w:rsidR="00556481" w:rsidRPr="00556481">
        <w:rPr>
          <w:rFonts w:ascii="Times New Roman" w:hAnsi="Times New Roman"/>
          <w:snapToGrid w:val="0"/>
        </w:rPr>
        <w:t>março</w:t>
      </w:r>
      <w:r w:rsidR="00CD638B">
        <w:rPr>
          <w:rFonts w:ascii="Times New Roman" w:hAnsi="Times New Roman"/>
          <w:snapToGrid w:val="0"/>
        </w:rPr>
        <w:t>/</w:t>
      </w:r>
      <w:r w:rsidR="00556481" w:rsidRPr="00556481">
        <w:rPr>
          <w:rFonts w:ascii="Times New Roman" w:hAnsi="Times New Roman"/>
          <w:snapToGrid w:val="0"/>
        </w:rPr>
        <w:t>2022</w:t>
      </w:r>
      <w:r w:rsidR="00CD638B">
        <w:rPr>
          <w:rFonts w:ascii="Times New Roman" w:hAnsi="Times New Roman"/>
          <w:snapToGrid w:val="0"/>
        </w:rPr>
        <w:t>)</w:t>
      </w:r>
      <w:r w:rsidR="00556481" w:rsidRPr="00556481">
        <w:rPr>
          <w:rFonts w:ascii="Times New Roman" w:hAnsi="Times New Roman"/>
          <w:snapToGrid w:val="0"/>
        </w:rPr>
        <w:t>.</w:t>
      </w:r>
      <w:r w:rsidR="00383B43">
        <w:rPr>
          <w:rFonts w:ascii="Times New Roman" w:hAnsi="Times New Roman"/>
          <w:snapToGrid w:val="0"/>
        </w:rPr>
        <w:t xml:space="preserve"> </w:t>
      </w:r>
      <w:r w:rsidR="00383B43" w:rsidRPr="00383B43">
        <w:rPr>
          <w:rFonts w:ascii="Times New Roman" w:hAnsi="Times New Roman"/>
          <w:snapToGrid w:val="0"/>
        </w:rPr>
        <w:t>Após a pandemia, a</w:t>
      </w:r>
      <w:r w:rsidR="00C52195">
        <w:rPr>
          <w:rFonts w:ascii="Times New Roman" w:hAnsi="Times New Roman"/>
          <w:snapToGrid w:val="0"/>
        </w:rPr>
        <w:t xml:space="preserve"> volatilidade se </w:t>
      </w:r>
      <w:r w:rsidR="008A6E11">
        <w:rPr>
          <w:rFonts w:ascii="Times New Roman" w:hAnsi="Times New Roman"/>
          <w:snapToGrid w:val="0"/>
        </w:rPr>
        <w:t>intensific</w:t>
      </w:r>
      <w:r w:rsidR="00C52195">
        <w:rPr>
          <w:rFonts w:ascii="Times New Roman" w:hAnsi="Times New Roman"/>
          <w:snapToGrid w:val="0"/>
        </w:rPr>
        <w:t>ou</w:t>
      </w:r>
      <w:r w:rsidR="008A6E11">
        <w:rPr>
          <w:rFonts w:ascii="Times New Roman" w:hAnsi="Times New Roman"/>
          <w:snapToGrid w:val="0"/>
        </w:rPr>
        <w:t xml:space="preserve"> </w:t>
      </w:r>
      <w:r w:rsidR="0093737E" w:rsidRPr="0093737E">
        <w:rPr>
          <w:rFonts w:ascii="Times New Roman" w:hAnsi="Times New Roman"/>
          <w:snapToGrid w:val="0"/>
        </w:rPr>
        <w:t>em decorrência d</w:t>
      </w:r>
      <w:r w:rsidR="0093737E">
        <w:rPr>
          <w:rFonts w:ascii="Times New Roman" w:hAnsi="Times New Roman"/>
          <w:snapToGrid w:val="0"/>
        </w:rPr>
        <w:t>os reflexos de produção do mercado</w:t>
      </w:r>
      <w:r w:rsidR="0093737E" w:rsidRPr="0093737E">
        <w:rPr>
          <w:rFonts w:ascii="Times New Roman" w:hAnsi="Times New Roman"/>
          <w:snapToGrid w:val="0"/>
        </w:rPr>
        <w:t>, atingindo</w:t>
      </w:r>
      <w:r w:rsidR="00C52195">
        <w:rPr>
          <w:rFonts w:ascii="Times New Roman" w:hAnsi="Times New Roman"/>
          <w:snapToGrid w:val="0"/>
        </w:rPr>
        <w:t xml:space="preserve"> </w:t>
      </w:r>
      <w:r w:rsidR="006C4DE3">
        <w:rPr>
          <w:rFonts w:ascii="Times New Roman" w:hAnsi="Times New Roman"/>
          <w:snapToGrid w:val="0"/>
        </w:rPr>
        <w:t>12</w:t>
      </w:r>
      <w:r w:rsidR="0093737E" w:rsidRPr="0093737E">
        <w:rPr>
          <w:rFonts w:ascii="Times New Roman" w:hAnsi="Times New Roman"/>
          <w:snapToGrid w:val="0"/>
        </w:rPr>
        <w:t>3.</w:t>
      </w:r>
      <w:r w:rsidR="006C4DE3">
        <w:rPr>
          <w:rFonts w:ascii="Times New Roman" w:hAnsi="Times New Roman"/>
          <w:snapToGrid w:val="0"/>
        </w:rPr>
        <w:t>5</w:t>
      </w:r>
      <w:r w:rsidR="0093737E" w:rsidRPr="0093737E">
        <w:rPr>
          <w:rFonts w:ascii="Times New Roman" w:hAnsi="Times New Roman"/>
          <w:snapToGrid w:val="0"/>
        </w:rPr>
        <w:t>%</w:t>
      </w:r>
      <w:r w:rsidR="00FF3195">
        <w:rPr>
          <w:rFonts w:ascii="Times New Roman" w:hAnsi="Times New Roman"/>
          <w:snapToGrid w:val="0"/>
        </w:rPr>
        <w:t>.</w:t>
      </w:r>
      <w:r w:rsidR="00C52195">
        <w:rPr>
          <w:rFonts w:ascii="Times New Roman" w:hAnsi="Times New Roman"/>
          <w:snapToGrid w:val="0"/>
        </w:rPr>
        <w:t xml:space="preserve"> Neste período, f</w:t>
      </w:r>
      <w:r w:rsidR="00C87CB6">
        <w:rPr>
          <w:rFonts w:ascii="Times New Roman" w:hAnsi="Times New Roman"/>
          <w:snapToGrid w:val="0"/>
        </w:rPr>
        <w:t xml:space="preserve">oram </w:t>
      </w:r>
      <w:r w:rsidR="00C87CB6" w:rsidRPr="00C87CB6">
        <w:rPr>
          <w:rFonts w:ascii="Times New Roman" w:hAnsi="Times New Roman"/>
          <w:snapToGrid w:val="0"/>
        </w:rPr>
        <w:t xml:space="preserve">registrados ágios com amplitudes relevantes, incluindo valores máximos de </w:t>
      </w:r>
      <w:r w:rsidR="006B365E">
        <w:rPr>
          <w:rFonts w:ascii="Times New Roman" w:hAnsi="Times New Roman"/>
          <w:snapToGrid w:val="0"/>
        </w:rPr>
        <w:t>13</w:t>
      </w:r>
      <w:r w:rsidR="00C87CB6" w:rsidRPr="00C87CB6">
        <w:rPr>
          <w:rFonts w:ascii="Times New Roman" w:hAnsi="Times New Roman"/>
          <w:snapToGrid w:val="0"/>
        </w:rPr>
        <w:t>.</w:t>
      </w:r>
      <w:r w:rsidR="006B365E">
        <w:rPr>
          <w:rFonts w:ascii="Times New Roman" w:hAnsi="Times New Roman"/>
          <w:snapToGrid w:val="0"/>
        </w:rPr>
        <w:t>3</w:t>
      </w:r>
      <w:r w:rsidR="00C87CB6" w:rsidRPr="00C87CB6">
        <w:rPr>
          <w:rFonts w:ascii="Times New Roman" w:hAnsi="Times New Roman"/>
          <w:snapToGrid w:val="0"/>
        </w:rPr>
        <w:t>% (</w:t>
      </w:r>
      <w:r w:rsidR="006B365E">
        <w:rPr>
          <w:rFonts w:ascii="Times New Roman" w:hAnsi="Times New Roman"/>
          <w:snapToGrid w:val="0"/>
        </w:rPr>
        <w:t>dezembro</w:t>
      </w:r>
      <w:r w:rsidR="00C87CB6" w:rsidRPr="00C87CB6">
        <w:rPr>
          <w:rFonts w:ascii="Times New Roman" w:hAnsi="Times New Roman"/>
          <w:snapToGrid w:val="0"/>
        </w:rPr>
        <w:t>/20</w:t>
      </w:r>
      <w:r w:rsidR="006B365E">
        <w:rPr>
          <w:rFonts w:ascii="Times New Roman" w:hAnsi="Times New Roman"/>
          <w:snapToGrid w:val="0"/>
        </w:rPr>
        <w:t>22</w:t>
      </w:r>
      <w:r w:rsidR="00C87CB6" w:rsidRPr="00C87CB6">
        <w:rPr>
          <w:rFonts w:ascii="Times New Roman" w:hAnsi="Times New Roman"/>
          <w:snapToGrid w:val="0"/>
        </w:rPr>
        <w:t xml:space="preserve">), </w:t>
      </w:r>
      <w:r w:rsidR="006B365E">
        <w:rPr>
          <w:rFonts w:ascii="Times New Roman" w:hAnsi="Times New Roman"/>
          <w:snapToGrid w:val="0"/>
        </w:rPr>
        <w:t>13</w:t>
      </w:r>
      <w:r w:rsidR="00C87CB6" w:rsidRPr="00C87CB6">
        <w:rPr>
          <w:rFonts w:ascii="Times New Roman" w:hAnsi="Times New Roman"/>
          <w:snapToGrid w:val="0"/>
        </w:rPr>
        <w:t>.</w:t>
      </w:r>
      <w:r w:rsidR="006B365E">
        <w:rPr>
          <w:rFonts w:ascii="Times New Roman" w:hAnsi="Times New Roman"/>
          <w:snapToGrid w:val="0"/>
        </w:rPr>
        <w:t>6</w:t>
      </w:r>
      <w:r w:rsidR="00C87CB6" w:rsidRPr="00C87CB6">
        <w:rPr>
          <w:rFonts w:ascii="Times New Roman" w:hAnsi="Times New Roman"/>
          <w:snapToGrid w:val="0"/>
        </w:rPr>
        <w:t>% (</w:t>
      </w:r>
      <w:r w:rsidR="006B365E">
        <w:rPr>
          <w:rFonts w:ascii="Times New Roman" w:hAnsi="Times New Roman"/>
          <w:snapToGrid w:val="0"/>
        </w:rPr>
        <w:t>setembr</w:t>
      </w:r>
      <w:r w:rsidR="00C87CB6" w:rsidRPr="00C87CB6">
        <w:rPr>
          <w:rFonts w:ascii="Times New Roman" w:hAnsi="Times New Roman"/>
          <w:snapToGrid w:val="0"/>
        </w:rPr>
        <w:t>o/202</w:t>
      </w:r>
      <w:r w:rsidR="000842AF">
        <w:rPr>
          <w:rFonts w:ascii="Times New Roman" w:hAnsi="Times New Roman"/>
          <w:snapToGrid w:val="0"/>
        </w:rPr>
        <w:t>3</w:t>
      </w:r>
      <w:r w:rsidR="00C87CB6" w:rsidRPr="00C87CB6">
        <w:rPr>
          <w:rFonts w:ascii="Times New Roman" w:hAnsi="Times New Roman"/>
          <w:snapToGrid w:val="0"/>
        </w:rPr>
        <w:t xml:space="preserve">) e </w:t>
      </w:r>
      <w:r w:rsidR="00831FB0">
        <w:rPr>
          <w:rFonts w:ascii="Times New Roman" w:hAnsi="Times New Roman"/>
          <w:snapToGrid w:val="0"/>
        </w:rPr>
        <w:t>1</w:t>
      </w:r>
      <w:r w:rsidR="00C87CB6" w:rsidRPr="00C87CB6">
        <w:rPr>
          <w:rFonts w:ascii="Times New Roman" w:hAnsi="Times New Roman"/>
          <w:snapToGrid w:val="0"/>
        </w:rPr>
        <w:t>3.</w:t>
      </w:r>
      <w:r w:rsidR="00831FB0">
        <w:rPr>
          <w:rFonts w:ascii="Times New Roman" w:hAnsi="Times New Roman"/>
          <w:snapToGrid w:val="0"/>
        </w:rPr>
        <w:t>7</w:t>
      </w:r>
      <w:r w:rsidR="00C87CB6" w:rsidRPr="00C87CB6">
        <w:rPr>
          <w:rFonts w:ascii="Times New Roman" w:hAnsi="Times New Roman"/>
          <w:snapToGrid w:val="0"/>
        </w:rPr>
        <w:t>% (</w:t>
      </w:r>
      <w:r w:rsidR="00831FB0">
        <w:rPr>
          <w:rFonts w:ascii="Times New Roman" w:hAnsi="Times New Roman"/>
          <w:snapToGrid w:val="0"/>
        </w:rPr>
        <w:t>maio</w:t>
      </w:r>
      <w:r w:rsidR="00C87CB6" w:rsidRPr="00C87CB6">
        <w:rPr>
          <w:rFonts w:ascii="Times New Roman" w:hAnsi="Times New Roman"/>
          <w:snapToGrid w:val="0"/>
        </w:rPr>
        <w:t>/202</w:t>
      </w:r>
      <w:r w:rsidR="00831FB0">
        <w:rPr>
          <w:rFonts w:ascii="Times New Roman" w:hAnsi="Times New Roman"/>
          <w:snapToGrid w:val="0"/>
        </w:rPr>
        <w:t>5</w:t>
      </w:r>
      <w:r w:rsidR="00C87CB6" w:rsidRPr="00C87CB6">
        <w:rPr>
          <w:rFonts w:ascii="Times New Roman" w:hAnsi="Times New Roman"/>
          <w:snapToGrid w:val="0"/>
        </w:rPr>
        <w:t xml:space="preserve">) decorrentes dos ajustes de abate das fêmeas retidas e, valores de </w:t>
      </w:r>
      <w:r w:rsidR="00831FB0">
        <w:rPr>
          <w:rFonts w:ascii="Times New Roman" w:hAnsi="Times New Roman"/>
          <w:snapToGrid w:val="0"/>
        </w:rPr>
        <w:t xml:space="preserve">deságios de </w:t>
      </w:r>
      <w:r w:rsidR="00BB44A2">
        <w:rPr>
          <w:rFonts w:ascii="Times New Roman" w:hAnsi="Times New Roman"/>
          <w:snapToGrid w:val="0"/>
        </w:rPr>
        <w:t>7</w:t>
      </w:r>
      <w:r w:rsidR="00C87CB6" w:rsidRPr="00C87CB6">
        <w:rPr>
          <w:rFonts w:ascii="Times New Roman" w:hAnsi="Times New Roman"/>
          <w:snapToGrid w:val="0"/>
        </w:rPr>
        <w:t>.</w:t>
      </w:r>
      <w:r w:rsidR="00BB44A2">
        <w:rPr>
          <w:rFonts w:ascii="Times New Roman" w:hAnsi="Times New Roman"/>
          <w:snapToGrid w:val="0"/>
        </w:rPr>
        <w:t>1</w:t>
      </w:r>
      <w:r w:rsidR="00C87CB6" w:rsidRPr="00C87CB6">
        <w:rPr>
          <w:rFonts w:ascii="Times New Roman" w:hAnsi="Times New Roman"/>
          <w:snapToGrid w:val="0"/>
        </w:rPr>
        <w:t>% (</w:t>
      </w:r>
      <w:r w:rsidR="00BB44A2">
        <w:rPr>
          <w:rFonts w:ascii="Times New Roman" w:hAnsi="Times New Roman"/>
          <w:snapToGrid w:val="0"/>
        </w:rPr>
        <w:t>abril</w:t>
      </w:r>
      <w:r w:rsidR="00C87CB6" w:rsidRPr="00C87CB6">
        <w:rPr>
          <w:rFonts w:ascii="Times New Roman" w:hAnsi="Times New Roman"/>
          <w:snapToGrid w:val="0"/>
        </w:rPr>
        <w:t>/202</w:t>
      </w:r>
      <w:r w:rsidR="00E53883">
        <w:rPr>
          <w:rFonts w:ascii="Times New Roman" w:hAnsi="Times New Roman"/>
          <w:snapToGrid w:val="0"/>
        </w:rPr>
        <w:t>3</w:t>
      </w:r>
      <w:r w:rsidR="00C87CB6" w:rsidRPr="00C87CB6">
        <w:rPr>
          <w:rFonts w:ascii="Times New Roman" w:hAnsi="Times New Roman"/>
          <w:snapToGrid w:val="0"/>
        </w:rPr>
        <w:t xml:space="preserve">), </w:t>
      </w:r>
      <w:r w:rsidR="006B2628">
        <w:rPr>
          <w:rFonts w:ascii="Times New Roman" w:hAnsi="Times New Roman"/>
          <w:snapToGrid w:val="0"/>
        </w:rPr>
        <w:t>6</w:t>
      </w:r>
      <w:r w:rsidR="00C87CB6" w:rsidRPr="00C87CB6">
        <w:rPr>
          <w:rFonts w:ascii="Times New Roman" w:hAnsi="Times New Roman"/>
          <w:snapToGrid w:val="0"/>
        </w:rPr>
        <w:t>.3% (</w:t>
      </w:r>
      <w:r w:rsidR="006B2628">
        <w:rPr>
          <w:rFonts w:ascii="Times New Roman" w:hAnsi="Times New Roman"/>
          <w:snapToGrid w:val="0"/>
        </w:rPr>
        <w:t>fevereir</w:t>
      </w:r>
      <w:r w:rsidR="00C87CB6" w:rsidRPr="00C87CB6">
        <w:rPr>
          <w:rFonts w:ascii="Times New Roman" w:hAnsi="Times New Roman"/>
          <w:snapToGrid w:val="0"/>
        </w:rPr>
        <w:t>o/202</w:t>
      </w:r>
      <w:r w:rsidR="006B2628">
        <w:rPr>
          <w:rFonts w:ascii="Times New Roman" w:hAnsi="Times New Roman"/>
          <w:snapToGrid w:val="0"/>
        </w:rPr>
        <w:t>4</w:t>
      </w:r>
      <w:r w:rsidR="00C87CB6" w:rsidRPr="00C87CB6">
        <w:rPr>
          <w:rFonts w:ascii="Times New Roman" w:hAnsi="Times New Roman"/>
          <w:snapToGrid w:val="0"/>
        </w:rPr>
        <w:t xml:space="preserve">) e </w:t>
      </w:r>
      <w:r w:rsidR="00B01899">
        <w:rPr>
          <w:rFonts w:ascii="Times New Roman" w:hAnsi="Times New Roman"/>
          <w:snapToGrid w:val="0"/>
        </w:rPr>
        <w:t>7</w:t>
      </w:r>
      <w:r w:rsidR="00C87CB6" w:rsidRPr="00C87CB6">
        <w:rPr>
          <w:rFonts w:ascii="Times New Roman" w:hAnsi="Times New Roman"/>
          <w:snapToGrid w:val="0"/>
        </w:rPr>
        <w:t>.</w:t>
      </w:r>
      <w:r w:rsidR="00B01899">
        <w:rPr>
          <w:rFonts w:ascii="Times New Roman" w:hAnsi="Times New Roman"/>
          <w:snapToGrid w:val="0"/>
        </w:rPr>
        <w:t>4</w:t>
      </w:r>
      <w:r w:rsidR="00C87CB6" w:rsidRPr="00C87CB6">
        <w:rPr>
          <w:rFonts w:ascii="Times New Roman" w:hAnsi="Times New Roman"/>
          <w:snapToGrid w:val="0"/>
        </w:rPr>
        <w:t>% (</w:t>
      </w:r>
      <w:r w:rsidR="00B01899">
        <w:rPr>
          <w:rFonts w:ascii="Times New Roman" w:hAnsi="Times New Roman"/>
          <w:snapToGrid w:val="0"/>
        </w:rPr>
        <w:t>setembr</w:t>
      </w:r>
      <w:r w:rsidR="00C87CB6" w:rsidRPr="00C87CB6">
        <w:rPr>
          <w:rFonts w:ascii="Times New Roman" w:hAnsi="Times New Roman"/>
          <w:snapToGrid w:val="0"/>
        </w:rPr>
        <w:t>o</w:t>
      </w:r>
      <w:r w:rsidR="00B01899">
        <w:rPr>
          <w:rFonts w:ascii="Times New Roman" w:hAnsi="Times New Roman"/>
          <w:snapToGrid w:val="0"/>
        </w:rPr>
        <w:t>/</w:t>
      </w:r>
      <w:r w:rsidR="00C87CB6" w:rsidRPr="00C87CB6">
        <w:rPr>
          <w:rFonts w:ascii="Times New Roman" w:hAnsi="Times New Roman"/>
          <w:snapToGrid w:val="0"/>
        </w:rPr>
        <w:t>202</w:t>
      </w:r>
      <w:r w:rsidR="00B01899">
        <w:rPr>
          <w:rFonts w:ascii="Times New Roman" w:hAnsi="Times New Roman"/>
          <w:snapToGrid w:val="0"/>
        </w:rPr>
        <w:t>4</w:t>
      </w:r>
      <w:r w:rsidR="00C87CB6" w:rsidRPr="00C87CB6">
        <w:rPr>
          <w:rFonts w:ascii="Times New Roman" w:hAnsi="Times New Roman"/>
          <w:snapToGrid w:val="0"/>
        </w:rPr>
        <w:t>) em função dos ajustes de preços mais atrativos para a compra da reposição.</w:t>
      </w:r>
      <w:r w:rsidR="00FB3097">
        <w:rPr>
          <w:rFonts w:ascii="Times New Roman" w:hAnsi="Times New Roman"/>
          <w:snapToGrid w:val="0"/>
        </w:rPr>
        <w:t xml:space="preserve"> </w:t>
      </w:r>
      <w:r>
        <w:rPr>
          <w:rFonts w:ascii="Times New Roman" w:hAnsi="Times New Roman"/>
          <w:snapToGrid w:val="0"/>
        </w:rPr>
        <w:t xml:space="preserve">Como conclusão, é possível afirmar que o período pandêmico </w:t>
      </w:r>
      <w:r w:rsidRPr="0038723E">
        <w:rPr>
          <w:rFonts w:ascii="Times New Roman" w:hAnsi="Times New Roman"/>
          <w:snapToGrid w:val="0"/>
        </w:rPr>
        <w:t xml:space="preserve">representou um ponto de </w:t>
      </w:r>
      <w:r>
        <w:rPr>
          <w:rFonts w:ascii="Times New Roman" w:hAnsi="Times New Roman"/>
          <w:snapToGrid w:val="0"/>
        </w:rPr>
        <w:t>perturbaç</w:t>
      </w:r>
      <w:r w:rsidRPr="0038723E">
        <w:rPr>
          <w:rFonts w:ascii="Times New Roman" w:hAnsi="Times New Roman"/>
          <w:snapToGrid w:val="0"/>
        </w:rPr>
        <w:t>ão</w:t>
      </w:r>
      <w:r>
        <w:rPr>
          <w:rFonts w:ascii="Times New Roman" w:hAnsi="Times New Roman"/>
          <w:snapToGrid w:val="0"/>
        </w:rPr>
        <w:t xml:space="preserve"> no ciclo pecuário, </w:t>
      </w:r>
      <w:r w:rsidRPr="0038723E">
        <w:rPr>
          <w:rFonts w:ascii="Times New Roman" w:hAnsi="Times New Roman"/>
          <w:snapToGrid w:val="0"/>
        </w:rPr>
        <w:t xml:space="preserve">intensificando a volatilidade e alterando temporariamente as relações </w:t>
      </w:r>
      <w:r>
        <w:rPr>
          <w:rFonts w:ascii="Times New Roman" w:hAnsi="Times New Roman"/>
          <w:snapToGrid w:val="0"/>
        </w:rPr>
        <w:t xml:space="preserve">devido a imprevisibilidade do mercado. A dinâmica de abate e a oferta de animais </w:t>
      </w:r>
      <w:r w:rsidR="00146B12">
        <w:rPr>
          <w:rFonts w:ascii="Times New Roman" w:hAnsi="Times New Roman"/>
          <w:snapToGrid w:val="0"/>
        </w:rPr>
        <w:t xml:space="preserve">foram </w:t>
      </w:r>
      <w:r>
        <w:rPr>
          <w:rFonts w:ascii="Times New Roman" w:hAnsi="Times New Roman"/>
          <w:snapToGrid w:val="0"/>
        </w:rPr>
        <w:t>afeta</w:t>
      </w:r>
      <w:r w:rsidR="00146B12">
        <w:rPr>
          <w:rFonts w:ascii="Times New Roman" w:hAnsi="Times New Roman"/>
          <w:snapToGrid w:val="0"/>
        </w:rPr>
        <w:t>das</w:t>
      </w:r>
      <w:r>
        <w:rPr>
          <w:rFonts w:ascii="Times New Roman" w:hAnsi="Times New Roman"/>
          <w:snapToGrid w:val="0"/>
        </w:rPr>
        <w:t xml:space="preserve"> significativamente n</w:t>
      </w:r>
      <w:r w:rsidR="00ED5B3E">
        <w:rPr>
          <w:rFonts w:ascii="Times New Roman" w:hAnsi="Times New Roman"/>
          <w:snapToGrid w:val="0"/>
        </w:rPr>
        <w:t>este</w:t>
      </w:r>
      <w:r>
        <w:rPr>
          <w:rFonts w:ascii="Times New Roman" w:hAnsi="Times New Roman"/>
          <w:snapToGrid w:val="0"/>
        </w:rPr>
        <w:t xml:space="preserve"> período.</w:t>
      </w:r>
      <w:r w:rsidR="00F61E4E" w:rsidRPr="00F61E4E">
        <w:rPr>
          <w:rFonts w:ascii="Times New Roman" w:hAnsi="Times New Roman"/>
          <w:snapToGrid w:val="0"/>
        </w:rPr>
        <w:t xml:space="preserve"> </w:t>
      </w:r>
    </w:p>
    <w:p w14:paraId="22803220" w14:textId="7777777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b/>
          <w:sz w:val="22"/>
          <w:szCs w:val="22"/>
        </w:rPr>
      </w:pPr>
    </w:p>
    <w:p w14:paraId="22803222" w14:textId="533F06A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Área: </w:t>
      </w:r>
      <w:r w:rsidR="00727017">
        <w:rPr>
          <w:rFonts w:ascii="Times New Roman" w:hAnsi="Times New Roman"/>
          <w:sz w:val="20"/>
        </w:rPr>
        <w:t>Economia</w:t>
      </w:r>
    </w:p>
    <w:p w14:paraId="22803226" w14:textId="55E896A5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 xml:space="preserve">: </w:t>
      </w:r>
      <w:r w:rsidR="00642AE2">
        <w:rPr>
          <w:rFonts w:ascii="Times New Roman" w:hAnsi="Times New Roman"/>
          <w:sz w:val="20"/>
        </w:rPr>
        <w:t>Rentabilidade</w:t>
      </w:r>
      <w:r w:rsidRPr="00F61E4E">
        <w:rPr>
          <w:rFonts w:ascii="Times New Roman" w:hAnsi="Times New Roman"/>
          <w:sz w:val="20"/>
        </w:rPr>
        <w:t xml:space="preserve">, </w:t>
      </w:r>
      <w:r w:rsidR="00642AE2">
        <w:rPr>
          <w:rFonts w:ascii="Times New Roman" w:hAnsi="Times New Roman"/>
          <w:sz w:val="20"/>
        </w:rPr>
        <w:t xml:space="preserve">análise </w:t>
      </w:r>
      <w:r w:rsidR="00E304E5">
        <w:rPr>
          <w:rFonts w:ascii="Times New Roman" w:hAnsi="Times New Roman"/>
          <w:sz w:val="20"/>
        </w:rPr>
        <w:t>econômico-financeira</w:t>
      </w:r>
      <w:r w:rsidRPr="00F61E4E">
        <w:rPr>
          <w:rFonts w:ascii="Times New Roman" w:hAnsi="Times New Roman"/>
          <w:sz w:val="20"/>
        </w:rPr>
        <w:t xml:space="preserve">, </w:t>
      </w:r>
      <w:r w:rsidR="000F7DEA" w:rsidRPr="00393999">
        <w:rPr>
          <w:rFonts w:ascii="Times New Roman" w:hAnsi="Times New Roman"/>
          <w:sz w:val="20"/>
        </w:rPr>
        <w:t>volatilidade</w:t>
      </w:r>
      <w:r w:rsidR="00E304E5" w:rsidRPr="00393999">
        <w:rPr>
          <w:rFonts w:ascii="Times New Roman" w:hAnsi="Times New Roman"/>
          <w:sz w:val="20"/>
        </w:rPr>
        <w:t>,</w:t>
      </w:r>
      <w:r w:rsidRPr="00393999">
        <w:rPr>
          <w:rFonts w:ascii="Times New Roman" w:hAnsi="Times New Roman"/>
          <w:sz w:val="20"/>
        </w:rPr>
        <w:t xml:space="preserve"> </w:t>
      </w:r>
      <w:r w:rsidR="000F7DEA" w:rsidRPr="00393999">
        <w:rPr>
          <w:rFonts w:ascii="Times New Roman" w:hAnsi="Times New Roman"/>
          <w:sz w:val="20"/>
        </w:rPr>
        <w:t>pandemi</w:t>
      </w:r>
      <w:r w:rsidR="00D00354" w:rsidRPr="00393999">
        <w:rPr>
          <w:rFonts w:ascii="Times New Roman" w:hAnsi="Times New Roman"/>
          <w:sz w:val="20"/>
        </w:rPr>
        <w:t>a</w:t>
      </w:r>
      <w:r w:rsidRPr="00393999">
        <w:rPr>
          <w:rFonts w:ascii="Times New Roman" w:hAnsi="Times New Roman"/>
          <w:sz w:val="20"/>
        </w:rPr>
        <w:t>,</w:t>
      </w:r>
      <w:r w:rsidRPr="00F61E4E">
        <w:rPr>
          <w:rFonts w:ascii="Times New Roman" w:hAnsi="Times New Roman"/>
          <w:sz w:val="20"/>
        </w:rPr>
        <w:t xml:space="preserve"> pecuária.</w:t>
      </w:r>
    </w:p>
    <w:sectPr w:rsidR="00F61E4E" w:rsidRPr="00F61E4E" w:rsidSect="00043E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F1E48" w14:textId="77777777" w:rsidR="00C30CFE" w:rsidRDefault="00C30CFE" w:rsidP="00E12AB0">
      <w:r>
        <w:separator/>
      </w:r>
    </w:p>
  </w:endnote>
  <w:endnote w:type="continuationSeparator" w:id="0">
    <w:p w14:paraId="590C7FC9" w14:textId="77777777" w:rsidR="00C30CFE" w:rsidRDefault="00C30CFE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0322E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0322F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03231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C7681" w14:textId="77777777" w:rsidR="00C30CFE" w:rsidRDefault="00C30CFE" w:rsidP="00E12AB0">
      <w:r>
        <w:separator/>
      </w:r>
    </w:p>
  </w:footnote>
  <w:footnote w:type="continuationSeparator" w:id="0">
    <w:p w14:paraId="4334CDDC" w14:textId="77777777" w:rsidR="00C30CFE" w:rsidRDefault="00C30CFE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0322B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0322C" w14:textId="77777777" w:rsidR="00E12AB0" w:rsidRDefault="00D531A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Resumos</w:t>
    </w:r>
    <w:r w:rsidR="00E12AB0">
      <w:rPr>
        <w:rFonts w:ascii="Times New Roman" w:hAnsi="Times New Roman" w:cs="Times New Roman"/>
        <w:sz w:val="20"/>
        <w:szCs w:val="20"/>
      </w:rPr>
      <w:t xml:space="preserve"> da 1</w:t>
    </w:r>
    <w:r w:rsidR="00940D47">
      <w:rPr>
        <w:rFonts w:ascii="Times New Roman" w:hAnsi="Times New Roman" w:cs="Times New Roman"/>
        <w:sz w:val="20"/>
        <w:szCs w:val="20"/>
      </w:rPr>
      <w:t>7</w:t>
    </w:r>
    <w:r w:rsidR="00E12AB0">
      <w:rPr>
        <w:rFonts w:ascii="Times New Roman" w:hAnsi="Times New Roman" w:cs="Times New Roman"/>
        <w:sz w:val="20"/>
        <w:szCs w:val="20"/>
      </w:rPr>
      <w:t>ª Jornada Científica – Embrapa São Carlos – 22 de agosto de 202</w:t>
    </w:r>
    <w:r w:rsidR="00940D47">
      <w:rPr>
        <w:rFonts w:ascii="Times New Roman" w:hAnsi="Times New Roman" w:cs="Times New Roman"/>
        <w:sz w:val="20"/>
        <w:szCs w:val="20"/>
      </w:rPr>
      <w:t>5</w:t>
    </w:r>
  </w:p>
  <w:p w14:paraId="2280322D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03230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4063"/>
    <w:rsid w:val="0000237A"/>
    <w:rsid w:val="00017E90"/>
    <w:rsid w:val="00027D79"/>
    <w:rsid w:val="00043E84"/>
    <w:rsid w:val="00081F45"/>
    <w:rsid w:val="000842AF"/>
    <w:rsid w:val="000D6AEA"/>
    <w:rsid w:val="000F2707"/>
    <w:rsid w:val="000F7DEA"/>
    <w:rsid w:val="00101260"/>
    <w:rsid w:val="00111C77"/>
    <w:rsid w:val="00146B12"/>
    <w:rsid w:val="00161E8F"/>
    <w:rsid w:val="00175158"/>
    <w:rsid w:val="002118BF"/>
    <w:rsid w:val="002174DE"/>
    <w:rsid w:val="00226C1F"/>
    <w:rsid w:val="002379CC"/>
    <w:rsid w:val="00256081"/>
    <w:rsid w:val="00265550"/>
    <w:rsid w:val="0026559E"/>
    <w:rsid w:val="002832A8"/>
    <w:rsid w:val="002A5F9F"/>
    <w:rsid w:val="002B6C6D"/>
    <w:rsid w:val="002C0BD5"/>
    <w:rsid w:val="002E0A8D"/>
    <w:rsid w:val="003019C5"/>
    <w:rsid w:val="003133BF"/>
    <w:rsid w:val="0032001A"/>
    <w:rsid w:val="00336D82"/>
    <w:rsid w:val="003477EB"/>
    <w:rsid w:val="00383B43"/>
    <w:rsid w:val="00385E88"/>
    <w:rsid w:val="00391772"/>
    <w:rsid w:val="00393999"/>
    <w:rsid w:val="003B1432"/>
    <w:rsid w:val="003C6915"/>
    <w:rsid w:val="003C7006"/>
    <w:rsid w:val="00431C8B"/>
    <w:rsid w:val="00484063"/>
    <w:rsid w:val="004946C2"/>
    <w:rsid w:val="004C1CAB"/>
    <w:rsid w:val="005112AA"/>
    <w:rsid w:val="00517896"/>
    <w:rsid w:val="00556481"/>
    <w:rsid w:val="005610A1"/>
    <w:rsid w:val="0057319E"/>
    <w:rsid w:val="00574273"/>
    <w:rsid w:val="00576CB9"/>
    <w:rsid w:val="00577A47"/>
    <w:rsid w:val="00587F10"/>
    <w:rsid w:val="005B6FD7"/>
    <w:rsid w:val="00601494"/>
    <w:rsid w:val="00631539"/>
    <w:rsid w:val="00642AE2"/>
    <w:rsid w:val="00660C61"/>
    <w:rsid w:val="00660FF1"/>
    <w:rsid w:val="00673603"/>
    <w:rsid w:val="006854D9"/>
    <w:rsid w:val="006B2628"/>
    <w:rsid w:val="006B365E"/>
    <w:rsid w:val="006C4DE3"/>
    <w:rsid w:val="006D3F6E"/>
    <w:rsid w:val="006D42E4"/>
    <w:rsid w:val="006E2C6F"/>
    <w:rsid w:val="006F3FD1"/>
    <w:rsid w:val="006F5B34"/>
    <w:rsid w:val="007052D4"/>
    <w:rsid w:val="0072667D"/>
    <w:rsid w:val="00727017"/>
    <w:rsid w:val="00763CD6"/>
    <w:rsid w:val="00785A21"/>
    <w:rsid w:val="007A0516"/>
    <w:rsid w:val="007B3680"/>
    <w:rsid w:val="007C4A2D"/>
    <w:rsid w:val="00827461"/>
    <w:rsid w:val="00827563"/>
    <w:rsid w:val="00831FB0"/>
    <w:rsid w:val="008A6E11"/>
    <w:rsid w:val="008C54C2"/>
    <w:rsid w:val="008D1B21"/>
    <w:rsid w:val="008F794A"/>
    <w:rsid w:val="009024CD"/>
    <w:rsid w:val="009074E2"/>
    <w:rsid w:val="00911351"/>
    <w:rsid w:val="009155BC"/>
    <w:rsid w:val="00917C5D"/>
    <w:rsid w:val="0093737E"/>
    <w:rsid w:val="00940D47"/>
    <w:rsid w:val="00972D22"/>
    <w:rsid w:val="00997C64"/>
    <w:rsid w:val="009D39D5"/>
    <w:rsid w:val="00A113D5"/>
    <w:rsid w:val="00A466DB"/>
    <w:rsid w:val="00A77079"/>
    <w:rsid w:val="00A81C96"/>
    <w:rsid w:val="00AE10AD"/>
    <w:rsid w:val="00B01899"/>
    <w:rsid w:val="00B37904"/>
    <w:rsid w:val="00B4466C"/>
    <w:rsid w:val="00B46292"/>
    <w:rsid w:val="00B47930"/>
    <w:rsid w:val="00B47FD2"/>
    <w:rsid w:val="00B64AD7"/>
    <w:rsid w:val="00B708E5"/>
    <w:rsid w:val="00B72F3A"/>
    <w:rsid w:val="00B73696"/>
    <w:rsid w:val="00BA02CD"/>
    <w:rsid w:val="00BB44A2"/>
    <w:rsid w:val="00BE678B"/>
    <w:rsid w:val="00BF25AD"/>
    <w:rsid w:val="00BF45EF"/>
    <w:rsid w:val="00C132E0"/>
    <w:rsid w:val="00C15113"/>
    <w:rsid w:val="00C30CFE"/>
    <w:rsid w:val="00C310C2"/>
    <w:rsid w:val="00C402FC"/>
    <w:rsid w:val="00C42D26"/>
    <w:rsid w:val="00C52195"/>
    <w:rsid w:val="00C5594C"/>
    <w:rsid w:val="00C601CA"/>
    <w:rsid w:val="00C83221"/>
    <w:rsid w:val="00C87CB6"/>
    <w:rsid w:val="00CD0F93"/>
    <w:rsid w:val="00CD638B"/>
    <w:rsid w:val="00CF40E3"/>
    <w:rsid w:val="00CF7283"/>
    <w:rsid w:val="00D00354"/>
    <w:rsid w:val="00D053EE"/>
    <w:rsid w:val="00D261FA"/>
    <w:rsid w:val="00D406D1"/>
    <w:rsid w:val="00D44587"/>
    <w:rsid w:val="00D531A0"/>
    <w:rsid w:val="00D538ED"/>
    <w:rsid w:val="00D6284D"/>
    <w:rsid w:val="00D6751D"/>
    <w:rsid w:val="00E12AB0"/>
    <w:rsid w:val="00E2723D"/>
    <w:rsid w:val="00E304E5"/>
    <w:rsid w:val="00E53883"/>
    <w:rsid w:val="00E90CC7"/>
    <w:rsid w:val="00EA668B"/>
    <w:rsid w:val="00ED5B3E"/>
    <w:rsid w:val="00ED77D8"/>
    <w:rsid w:val="00F14947"/>
    <w:rsid w:val="00F32435"/>
    <w:rsid w:val="00F5501F"/>
    <w:rsid w:val="00F61E4E"/>
    <w:rsid w:val="00FB3097"/>
    <w:rsid w:val="00FB7AE7"/>
    <w:rsid w:val="00FE046D"/>
    <w:rsid w:val="00FF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03213"/>
  <w15:docId w15:val="{3D682044-FE45-46F1-B2D4-81C18DF1A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paragraph" w:styleId="Reviso">
    <w:name w:val="Revision"/>
    <w:hidden/>
    <w:uiPriority w:val="99"/>
    <w:semiHidden/>
    <w:rsid w:val="009D39D5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681C9AF-8F33-41EE-8676-0C0F6D926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597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Rolando Pasquini Neto</cp:lastModifiedBy>
  <cp:revision>124</cp:revision>
  <dcterms:created xsi:type="dcterms:W3CDTF">2025-05-27T13:13:00Z</dcterms:created>
  <dcterms:modified xsi:type="dcterms:W3CDTF">2025-06-17T17:39:00Z</dcterms:modified>
</cp:coreProperties>
</file>