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1BF30" w14:textId="181422B0" w:rsidR="003836D7" w:rsidRPr="003836D7" w:rsidRDefault="003836D7" w:rsidP="003836D7">
      <w:pPr>
        <w:ind w:firstLine="0"/>
        <w:jc w:val="center"/>
        <w:rPr>
          <w:rFonts w:ascii="Times New Roman" w:hAnsi="Times New Roman" w:cs="Times New Roman"/>
          <w:b/>
          <w:snapToGrid w:val="0"/>
          <w:sz w:val="28"/>
        </w:rPr>
      </w:pPr>
      <w:r w:rsidRPr="003836D7">
        <w:rPr>
          <w:rFonts w:ascii="Times New Roman" w:hAnsi="Times New Roman" w:cs="Times New Roman"/>
          <w:b/>
          <w:snapToGrid w:val="0"/>
          <w:sz w:val="28"/>
          <w:lang w:val="pt-PT"/>
        </w:rPr>
        <w:t xml:space="preserve">Filmes nanocompósitos inteligentes baseados em zeína, gelatina e </w:t>
      </w:r>
      <w:r w:rsidR="0061790E" w:rsidRPr="003836D7">
        <w:rPr>
          <w:rFonts w:ascii="Times New Roman" w:hAnsi="Times New Roman" w:cs="Times New Roman"/>
          <w:b/>
          <w:snapToGrid w:val="0"/>
          <w:sz w:val="28"/>
          <w:lang w:val="pt-PT"/>
        </w:rPr>
        <w:t xml:space="preserve">nanocristais de </w:t>
      </w:r>
      <w:r w:rsidRPr="003836D7">
        <w:rPr>
          <w:rFonts w:ascii="Times New Roman" w:hAnsi="Times New Roman" w:cs="Times New Roman"/>
          <w:b/>
          <w:snapToGrid w:val="0"/>
          <w:sz w:val="28"/>
          <w:lang w:val="pt-PT"/>
        </w:rPr>
        <w:t>celulose funcionalizados com alizarina para aplicações em embalagens de alimentos</w:t>
      </w:r>
    </w:p>
    <w:p w14:paraId="3307E762" w14:textId="77777777" w:rsidR="00967C7F" w:rsidRDefault="00967C7F" w:rsidP="00967C7F">
      <w:pPr>
        <w:ind w:firstLine="0"/>
        <w:jc w:val="center"/>
        <w:rPr>
          <w:rFonts w:ascii="Times New Roman" w:hAnsi="Times New Roman" w:cs="Times New Roman"/>
          <w:b/>
          <w:snapToGrid w:val="0"/>
          <w:sz w:val="28"/>
        </w:rPr>
      </w:pPr>
    </w:p>
    <w:p w14:paraId="028DF3BB" w14:textId="0E585128" w:rsidR="00F61E4E" w:rsidRPr="00731E55" w:rsidRDefault="00967C7F" w:rsidP="00F61E4E">
      <w:pPr>
        <w:jc w:val="center"/>
        <w:rPr>
          <w:rFonts w:ascii="Times New Roman" w:hAnsi="Times New Roman" w:cs="Times New Roman"/>
          <w:snapToGrid w:val="0"/>
        </w:rPr>
      </w:pPr>
      <w:r w:rsidRPr="00731E55">
        <w:rPr>
          <w:rFonts w:ascii="Times New Roman" w:hAnsi="Times New Roman" w:cs="Times New Roman"/>
          <w:snapToGrid w:val="0"/>
          <w:u w:val="single"/>
        </w:rPr>
        <w:t>Leonardo Sentanin</w:t>
      </w:r>
      <w:r w:rsidRPr="00731E55">
        <w:rPr>
          <w:rFonts w:ascii="Times New Roman" w:hAnsi="Times New Roman" w:cs="Times New Roman"/>
          <w:snapToGrid w:val="0"/>
          <w:u w:val="single"/>
          <w:vertAlign w:val="superscript"/>
        </w:rPr>
        <w:t>1</w:t>
      </w:r>
      <w:r w:rsidR="00F61E4E" w:rsidRPr="00731E55">
        <w:rPr>
          <w:rFonts w:ascii="Times New Roman" w:hAnsi="Times New Roman" w:cs="Times New Roman"/>
          <w:snapToGrid w:val="0"/>
        </w:rPr>
        <w:t xml:space="preserve">; </w:t>
      </w:r>
      <w:r w:rsidRPr="00731E55">
        <w:rPr>
          <w:rFonts w:ascii="Times New Roman" w:hAnsi="Times New Roman" w:cs="Times New Roman"/>
          <w:snapToGrid w:val="0"/>
        </w:rPr>
        <w:t>Josemar Gonçalves de Oliveira Filho</w:t>
      </w:r>
      <w:r w:rsidR="00F61E4E" w:rsidRPr="00731E55">
        <w:rPr>
          <w:rFonts w:ascii="Times New Roman" w:hAnsi="Times New Roman" w:cs="Times New Roman"/>
          <w:snapToGrid w:val="0"/>
          <w:vertAlign w:val="superscript"/>
        </w:rPr>
        <w:t>2</w:t>
      </w:r>
      <w:r w:rsidR="00F61E4E" w:rsidRPr="00731E55">
        <w:rPr>
          <w:rFonts w:ascii="Times New Roman" w:hAnsi="Times New Roman" w:cs="Times New Roman"/>
          <w:snapToGrid w:val="0"/>
        </w:rPr>
        <w:t xml:space="preserve">; </w:t>
      </w:r>
      <w:r w:rsidRPr="00731E55">
        <w:rPr>
          <w:rFonts w:ascii="Times New Roman" w:hAnsi="Times New Roman" w:cs="Times New Roman"/>
          <w:snapToGrid w:val="0"/>
        </w:rPr>
        <w:t>Luiz Henrique Capparelli Mattoso</w:t>
      </w:r>
      <w:r w:rsidR="003836D7">
        <w:rPr>
          <w:rFonts w:ascii="Times New Roman" w:hAnsi="Times New Roman" w:cs="Times New Roman"/>
          <w:snapToGrid w:val="0"/>
          <w:vertAlign w:val="superscript"/>
        </w:rPr>
        <w:t>3</w:t>
      </w:r>
    </w:p>
    <w:p w14:paraId="1ACBED28" w14:textId="77777777" w:rsidR="00F61E4E" w:rsidRPr="00F61E4E" w:rsidRDefault="00F61E4E" w:rsidP="00F61E4E">
      <w:pPr>
        <w:shd w:val="clear" w:color="auto" w:fill="FFFFFF"/>
        <w:jc w:val="center"/>
        <w:rPr>
          <w:rFonts w:ascii="Times New Roman" w:hAnsi="Times New Roman" w:cs="Times New Roman"/>
        </w:rPr>
      </w:pPr>
    </w:p>
    <w:p w14:paraId="1C55CF0F" w14:textId="126CCFB0" w:rsidR="00F61E4E" w:rsidRPr="002E0A8D" w:rsidRDefault="00F61E4E" w:rsidP="00F61E4E">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1</w:t>
      </w:r>
      <w:r w:rsidRPr="002E0A8D">
        <w:rPr>
          <w:rFonts w:ascii="Times New Roman" w:hAnsi="Times New Roman" w:cs="Times New Roman"/>
          <w:snapToGrid w:val="0"/>
          <w:sz w:val="20"/>
          <w:szCs w:val="20"/>
        </w:rPr>
        <w:t xml:space="preserve">Aluno de graduação em </w:t>
      </w:r>
      <w:r w:rsidR="00731E55">
        <w:rPr>
          <w:rFonts w:ascii="Times New Roman" w:hAnsi="Times New Roman" w:cs="Times New Roman"/>
          <w:snapToGrid w:val="0"/>
          <w:sz w:val="20"/>
          <w:szCs w:val="20"/>
        </w:rPr>
        <w:t>Engenharia de Bioprocessos e Biotecnologia</w:t>
      </w:r>
      <w:r w:rsidRPr="002E0A8D">
        <w:rPr>
          <w:rFonts w:ascii="Times New Roman" w:hAnsi="Times New Roman" w:cs="Times New Roman"/>
          <w:snapToGrid w:val="0"/>
          <w:sz w:val="20"/>
          <w:szCs w:val="20"/>
        </w:rPr>
        <w:t xml:space="preserve">, Universidade </w:t>
      </w:r>
      <w:r w:rsidR="00731E55">
        <w:rPr>
          <w:rFonts w:ascii="Times New Roman" w:hAnsi="Times New Roman" w:cs="Times New Roman"/>
          <w:snapToGrid w:val="0"/>
          <w:sz w:val="20"/>
          <w:szCs w:val="20"/>
        </w:rPr>
        <w:t>Estadual Paulista</w:t>
      </w:r>
      <w:r w:rsidRPr="002E0A8D">
        <w:rPr>
          <w:rFonts w:ascii="Times New Roman" w:hAnsi="Times New Roman" w:cs="Times New Roman"/>
          <w:snapToGrid w:val="0"/>
          <w:sz w:val="20"/>
          <w:szCs w:val="20"/>
        </w:rPr>
        <w:t xml:space="preserve">, </w:t>
      </w:r>
      <w:r w:rsidR="00731E55">
        <w:rPr>
          <w:rFonts w:ascii="Times New Roman" w:hAnsi="Times New Roman" w:cs="Times New Roman"/>
          <w:snapToGrid w:val="0"/>
          <w:sz w:val="20"/>
          <w:szCs w:val="20"/>
        </w:rPr>
        <w:t>Araraquara</w:t>
      </w:r>
      <w:r w:rsidRPr="002E0A8D">
        <w:rPr>
          <w:rFonts w:ascii="Times New Roman" w:hAnsi="Times New Roman" w:cs="Times New Roman"/>
          <w:snapToGrid w:val="0"/>
          <w:sz w:val="20"/>
          <w:szCs w:val="20"/>
        </w:rPr>
        <w:t xml:space="preserve">, SP. Bolsista PIBIC/CNPq, Embrapa Instrumentação, São Carlos, SP; </w:t>
      </w:r>
      <w:r w:rsidR="00731E55">
        <w:rPr>
          <w:rFonts w:ascii="Times New Roman" w:hAnsi="Times New Roman" w:cs="Times New Roman"/>
          <w:snapToGrid w:val="0"/>
          <w:sz w:val="20"/>
          <w:szCs w:val="20"/>
        </w:rPr>
        <w:t>leonardo</w:t>
      </w:r>
      <w:r w:rsidRPr="002E0A8D">
        <w:rPr>
          <w:rFonts w:ascii="Times New Roman" w:hAnsi="Times New Roman" w:cs="Times New Roman"/>
          <w:snapToGrid w:val="0"/>
          <w:sz w:val="20"/>
          <w:szCs w:val="20"/>
        </w:rPr>
        <w:t>.</w:t>
      </w:r>
      <w:r w:rsidR="00731E55">
        <w:rPr>
          <w:rFonts w:ascii="Times New Roman" w:hAnsi="Times New Roman" w:cs="Times New Roman"/>
          <w:snapToGrid w:val="0"/>
          <w:sz w:val="20"/>
          <w:szCs w:val="20"/>
        </w:rPr>
        <w:t>sentanin@gmail.com</w:t>
      </w:r>
    </w:p>
    <w:p w14:paraId="22F52D6B" w14:textId="6230E33A" w:rsidR="00F61E4E" w:rsidRPr="002E0A8D" w:rsidRDefault="00F61E4E" w:rsidP="00F61E4E">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2</w:t>
      </w:r>
      <w:r w:rsidR="00967C7F">
        <w:rPr>
          <w:rFonts w:ascii="Times New Roman" w:hAnsi="Times New Roman" w:cs="Times New Roman"/>
          <w:snapToGrid w:val="0"/>
          <w:sz w:val="20"/>
          <w:szCs w:val="20"/>
        </w:rPr>
        <w:t xml:space="preserve">Pós-doutorando, </w:t>
      </w:r>
      <w:r w:rsidR="00967C7F" w:rsidRPr="00967C7F">
        <w:rPr>
          <w:rFonts w:ascii="Times New Roman" w:hAnsi="Times New Roman" w:cs="Times New Roman"/>
          <w:snapToGrid w:val="0"/>
          <w:sz w:val="20"/>
          <w:szCs w:val="20"/>
        </w:rPr>
        <w:t>Embrapa Instrumentação, São Carlos, SP</w:t>
      </w:r>
      <w:r w:rsidR="00967C7F">
        <w:rPr>
          <w:rFonts w:ascii="Times New Roman" w:hAnsi="Times New Roman" w:cs="Times New Roman"/>
          <w:snapToGrid w:val="0"/>
          <w:sz w:val="20"/>
          <w:szCs w:val="20"/>
        </w:rPr>
        <w:t>.</w:t>
      </w:r>
      <w:r w:rsidRPr="002E0A8D">
        <w:rPr>
          <w:rFonts w:ascii="Times New Roman" w:hAnsi="Times New Roman" w:cs="Times New Roman"/>
          <w:snapToGrid w:val="0"/>
          <w:sz w:val="20"/>
          <w:szCs w:val="20"/>
        </w:rPr>
        <w:t xml:space="preserve"> </w:t>
      </w:r>
    </w:p>
    <w:p w14:paraId="32BE7582" w14:textId="238EFC77" w:rsidR="00F61E4E" w:rsidRPr="00F61E4E" w:rsidRDefault="003836D7" w:rsidP="00F61E4E">
      <w:pPr>
        <w:jc w:val="both"/>
        <w:rPr>
          <w:rFonts w:ascii="Times New Roman" w:hAnsi="Times New Roman" w:cs="Times New Roman"/>
          <w:sz w:val="18"/>
          <w:szCs w:val="18"/>
        </w:rPr>
      </w:pPr>
      <w:r>
        <w:rPr>
          <w:rFonts w:ascii="Times New Roman" w:hAnsi="Times New Roman" w:cs="Times New Roman"/>
          <w:snapToGrid w:val="0"/>
          <w:sz w:val="20"/>
          <w:szCs w:val="20"/>
          <w:vertAlign w:val="superscript"/>
        </w:rPr>
        <w:t>3</w:t>
      </w:r>
      <w:r w:rsidR="00F61E4E" w:rsidRPr="002E0A8D">
        <w:rPr>
          <w:rFonts w:ascii="Times New Roman" w:hAnsi="Times New Roman" w:cs="Times New Roman"/>
          <w:snapToGrid w:val="0"/>
          <w:sz w:val="20"/>
          <w:szCs w:val="20"/>
        </w:rPr>
        <w:t>Pesquisador da Embrapa Instrumentação, São Carlos, SP.</w:t>
      </w:r>
    </w:p>
    <w:p w14:paraId="79B5BDFA" w14:textId="77777777" w:rsidR="00967C7F" w:rsidRPr="00967C7F" w:rsidRDefault="00967C7F" w:rsidP="00967C7F">
      <w:pPr>
        <w:pStyle w:val="Corpodetexto"/>
        <w:rPr>
          <w:rFonts w:ascii="Times New Roman" w:hAnsi="Times New Roman"/>
          <w:snapToGrid w:val="0"/>
          <w:color w:val="FF0000"/>
        </w:rPr>
      </w:pPr>
    </w:p>
    <w:p w14:paraId="5CE75945" w14:textId="77777777" w:rsidR="0061790E" w:rsidRPr="0061790E" w:rsidRDefault="003836D7" w:rsidP="0061790E">
      <w:pPr>
        <w:pStyle w:val="Corpodetexto"/>
        <w:spacing w:line="276" w:lineRule="auto"/>
        <w:rPr>
          <w:rFonts w:ascii="Times New Roman" w:hAnsi="Times New Roman"/>
          <w:snapToGrid w:val="0"/>
          <w:color w:val="000000" w:themeColor="text1"/>
        </w:rPr>
      </w:pPr>
      <w:r w:rsidRPr="003836D7">
        <w:rPr>
          <w:rFonts w:ascii="Times New Roman" w:hAnsi="Times New Roman"/>
          <w:snapToGrid w:val="0"/>
          <w:color w:val="000000" w:themeColor="text1"/>
        </w:rPr>
        <w:t>A avaliação da vida útil de alimentos perecíveis é tradicionalmente realizada por meio de análises microbiológicas, químicas e sensoriais, que, apesar de eficazes, apresentam alto custo, longa duração e limitações quanto à precisão. Como alternativa, métodos colorimétricos de baixo custo, capazes de identificar em tempo real alterações na qualidade dos alimentos, têm se destacado. Dentro dessa abordagem, filmes inteligentes contendo indicadores naturais de pH vêm sendo desenvolvidos para monitorar a deterioração e garantir a segurança dos alimentos.</w:t>
      </w:r>
      <w:r>
        <w:rPr>
          <w:rFonts w:ascii="Times New Roman" w:hAnsi="Times New Roman"/>
          <w:snapToGrid w:val="0"/>
          <w:color w:val="000000" w:themeColor="text1"/>
        </w:rPr>
        <w:t xml:space="preserve"> </w:t>
      </w:r>
    </w:p>
    <w:p w14:paraId="0B276AF0" w14:textId="27A18F99" w:rsidR="005C461E" w:rsidRPr="005C461E" w:rsidRDefault="005C461E" w:rsidP="005C461E">
      <w:pPr>
        <w:pStyle w:val="Corpodetexto"/>
        <w:spacing w:line="276" w:lineRule="auto"/>
        <w:rPr>
          <w:rFonts w:ascii="Times New Roman" w:hAnsi="Times New Roman"/>
          <w:snapToGrid w:val="0"/>
          <w:color w:val="000000" w:themeColor="text1"/>
        </w:rPr>
      </w:pPr>
      <w:r w:rsidRPr="005C461E">
        <w:rPr>
          <w:rFonts w:ascii="Times New Roman" w:hAnsi="Times New Roman"/>
          <w:snapToGrid w:val="0"/>
          <w:color w:val="000000" w:themeColor="text1"/>
        </w:rPr>
        <w:t xml:space="preserve">Este estudo teve como objetivo desenvolver filmes inteligentes à base de </w:t>
      </w:r>
      <w:proofErr w:type="spellStart"/>
      <w:r w:rsidRPr="005C461E">
        <w:rPr>
          <w:rFonts w:ascii="Times New Roman" w:hAnsi="Times New Roman"/>
          <w:snapToGrid w:val="0"/>
          <w:color w:val="000000" w:themeColor="text1"/>
        </w:rPr>
        <w:t>zeína</w:t>
      </w:r>
      <w:proofErr w:type="spellEnd"/>
      <w:r w:rsidRPr="005C461E">
        <w:rPr>
          <w:rFonts w:ascii="Times New Roman" w:hAnsi="Times New Roman"/>
          <w:snapToGrid w:val="0"/>
          <w:color w:val="000000" w:themeColor="text1"/>
        </w:rPr>
        <w:t xml:space="preserve"> e gelatina, reforçados com nanocristais de celulose e funcionalizados com alizarina (AL), visando sua aplicação como embalagens indicadoras de pH para alimentos. Os filmes foram produzidos pelo método de casting, a partir de soluções contendo </w:t>
      </w:r>
      <w:proofErr w:type="spellStart"/>
      <w:r w:rsidRPr="005C461E">
        <w:rPr>
          <w:rFonts w:ascii="Times New Roman" w:hAnsi="Times New Roman"/>
          <w:snapToGrid w:val="0"/>
          <w:color w:val="000000" w:themeColor="text1"/>
        </w:rPr>
        <w:t>zeína</w:t>
      </w:r>
      <w:proofErr w:type="spellEnd"/>
      <w:r w:rsidRPr="005C461E">
        <w:rPr>
          <w:rFonts w:ascii="Times New Roman" w:hAnsi="Times New Roman"/>
          <w:snapToGrid w:val="0"/>
          <w:color w:val="000000" w:themeColor="text1"/>
        </w:rPr>
        <w:t xml:space="preserve"> e gelatina em concentrações de 12,5% (p/v) cada, e diferentes proporções de AL (0 a 3% p/p, com base na massa total de biopolímeros).</w:t>
      </w:r>
      <w:r>
        <w:rPr>
          <w:rFonts w:ascii="Times New Roman" w:hAnsi="Times New Roman"/>
          <w:snapToGrid w:val="0"/>
          <w:color w:val="000000" w:themeColor="text1"/>
        </w:rPr>
        <w:t xml:space="preserve"> </w:t>
      </w:r>
      <w:r w:rsidRPr="005C461E">
        <w:rPr>
          <w:rFonts w:ascii="Times New Roman" w:hAnsi="Times New Roman"/>
          <w:snapToGrid w:val="0"/>
          <w:color w:val="000000" w:themeColor="text1"/>
        </w:rPr>
        <w:t xml:space="preserve">Foram caracterizadas as propriedades físico-químicas dos filmes, incluindo interação com a água, propriedades mecânicas e térmicas, além da resposta cromática frente a variações de pH (intervalo de 2 a 11) e à presença de bactérias. A adição de AL resultou em aumento do ângulo de contato dos filmes, de 67° para valores entre 72° e 97°, indicando menor </w:t>
      </w:r>
      <w:proofErr w:type="spellStart"/>
      <w:r w:rsidRPr="005C461E">
        <w:rPr>
          <w:rFonts w:ascii="Times New Roman" w:hAnsi="Times New Roman"/>
          <w:snapToGrid w:val="0"/>
          <w:color w:val="000000" w:themeColor="text1"/>
        </w:rPr>
        <w:t>hidrofilicidade</w:t>
      </w:r>
      <w:proofErr w:type="spellEnd"/>
      <w:r w:rsidRPr="005C461E">
        <w:rPr>
          <w:rFonts w:ascii="Times New Roman" w:hAnsi="Times New Roman"/>
          <w:snapToGrid w:val="0"/>
          <w:color w:val="000000" w:themeColor="text1"/>
        </w:rPr>
        <w:t>. No entanto, observou-se uma leve redução na estabilidade térmica e nas propriedades mecânicas, embora os filmes tenham se mantido estáveis até 194 °C, com tensão de até 39 MPa e alongamento de 23%.</w:t>
      </w:r>
      <w:r>
        <w:rPr>
          <w:rFonts w:ascii="Times New Roman" w:hAnsi="Times New Roman"/>
          <w:snapToGrid w:val="0"/>
          <w:color w:val="000000" w:themeColor="text1"/>
        </w:rPr>
        <w:t xml:space="preserve"> </w:t>
      </w:r>
      <w:r w:rsidRPr="005C461E">
        <w:rPr>
          <w:rFonts w:ascii="Times New Roman" w:hAnsi="Times New Roman"/>
          <w:snapToGrid w:val="0"/>
          <w:color w:val="000000" w:themeColor="text1"/>
        </w:rPr>
        <w:t xml:space="preserve">Do ponto de vista funcional, os filmes contendo AL apresentaram variação de cor perceptível a olho nu (ΔE &gt; 3) em diferentes faixas de pH. Entre os materiais desenvolvidos, os filmes com 1% de AL apresentaram o maior valor de ΔE, evidenciando maior sensibilidade e distinção cromática. Além disso, esses filmes demonstraram mudança de cor após 24 horas de contato direto com </w:t>
      </w:r>
      <w:r w:rsidRPr="00401519">
        <w:rPr>
          <w:rFonts w:ascii="Times New Roman" w:hAnsi="Times New Roman"/>
          <w:i/>
          <w:iCs/>
          <w:snapToGrid w:val="0"/>
          <w:color w:val="000000" w:themeColor="text1"/>
        </w:rPr>
        <w:t>Escherichia coli</w:t>
      </w:r>
      <w:r w:rsidRPr="005C461E">
        <w:rPr>
          <w:rFonts w:ascii="Times New Roman" w:hAnsi="Times New Roman"/>
          <w:snapToGrid w:val="0"/>
          <w:color w:val="000000" w:themeColor="text1"/>
        </w:rPr>
        <w:t xml:space="preserve"> e </w:t>
      </w:r>
      <w:proofErr w:type="spellStart"/>
      <w:r w:rsidRPr="00401519">
        <w:rPr>
          <w:rFonts w:ascii="Times New Roman" w:hAnsi="Times New Roman"/>
          <w:i/>
          <w:iCs/>
          <w:snapToGrid w:val="0"/>
          <w:color w:val="000000" w:themeColor="text1"/>
        </w:rPr>
        <w:t>Staphylococcus</w:t>
      </w:r>
      <w:proofErr w:type="spellEnd"/>
      <w:r w:rsidRPr="00401519">
        <w:rPr>
          <w:rFonts w:ascii="Times New Roman" w:hAnsi="Times New Roman"/>
          <w:i/>
          <w:iCs/>
          <w:snapToGrid w:val="0"/>
          <w:color w:val="000000" w:themeColor="text1"/>
        </w:rPr>
        <w:t xml:space="preserve"> aureus</w:t>
      </w:r>
      <w:r w:rsidRPr="005C461E">
        <w:rPr>
          <w:rFonts w:ascii="Times New Roman" w:hAnsi="Times New Roman"/>
          <w:snapToGrid w:val="0"/>
          <w:color w:val="000000" w:themeColor="text1"/>
        </w:rPr>
        <w:t>, passando de laranja para roxo.</w:t>
      </w:r>
      <w:r>
        <w:rPr>
          <w:rFonts w:ascii="Times New Roman" w:hAnsi="Times New Roman"/>
          <w:snapToGrid w:val="0"/>
          <w:color w:val="000000" w:themeColor="text1"/>
        </w:rPr>
        <w:t xml:space="preserve"> </w:t>
      </w:r>
      <w:r w:rsidRPr="005C461E">
        <w:rPr>
          <w:rFonts w:ascii="Times New Roman" w:hAnsi="Times New Roman"/>
          <w:snapToGrid w:val="0"/>
          <w:color w:val="000000" w:themeColor="text1"/>
        </w:rPr>
        <w:t>Dessa forma, os filmes desenvolvidos, especialmente aqueles contendo 1% de AL, demonstraram potencial promissor como sistemas inteligentes para monitoramento de pH e contaminação microbiológica em alimentos.</w:t>
      </w:r>
    </w:p>
    <w:p w14:paraId="26591F3B" w14:textId="77777777" w:rsidR="00731E55" w:rsidRPr="00967C7F" w:rsidRDefault="00731E55" w:rsidP="00731E55">
      <w:pPr>
        <w:pStyle w:val="Corpodetexto"/>
        <w:spacing w:line="276" w:lineRule="auto"/>
        <w:rPr>
          <w:rFonts w:ascii="Times New Roman" w:hAnsi="Times New Roman"/>
          <w:snapToGrid w:val="0"/>
          <w:color w:val="000000" w:themeColor="text1"/>
        </w:rPr>
      </w:pPr>
    </w:p>
    <w:p w14:paraId="1667DAD5" w14:textId="676F39FD"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Apoio financeiro:</w:t>
      </w:r>
      <w:r w:rsidRPr="00F61E4E">
        <w:rPr>
          <w:rFonts w:ascii="Times New Roman" w:hAnsi="Times New Roman"/>
          <w:sz w:val="20"/>
        </w:rPr>
        <w:t xml:space="preserve"> </w:t>
      </w:r>
      <w:r w:rsidR="00D26219" w:rsidRPr="00D26219">
        <w:rPr>
          <w:rFonts w:ascii="Times New Roman" w:hAnsi="Times New Roman"/>
          <w:sz w:val="20"/>
        </w:rPr>
        <w:t>C</w:t>
      </w:r>
      <w:r w:rsidR="00D26219">
        <w:rPr>
          <w:rFonts w:ascii="Times New Roman" w:hAnsi="Times New Roman"/>
          <w:sz w:val="20"/>
        </w:rPr>
        <w:t xml:space="preserve">onselho </w:t>
      </w:r>
      <w:r w:rsidR="00D26219" w:rsidRPr="00D26219">
        <w:rPr>
          <w:rFonts w:ascii="Times New Roman" w:hAnsi="Times New Roman"/>
          <w:sz w:val="20"/>
        </w:rPr>
        <w:t>N</w:t>
      </w:r>
      <w:r w:rsidR="00D26219">
        <w:rPr>
          <w:rFonts w:ascii="Times New Roman" w:hAnsi="Times New Roman"/>
          <w:sz w:val="20"/>
        </w:rPr>
        <w:t xml:space="preserve">acional de </w:t>
      </w:r>
      <w:r w:rsidR="00D26219" w:rsidRPr="00D26219">
        <w:rPr>
          <w:rFonts w:ascii="Times New Roman" w:hAnsi="Times New Roman"/>
          <w:sz w:val="20"/>
        </w:rPr>
        <w:t>P</w:t>
      </w:r>
      <w:r w:rsidR="00D26219">
        <w:rPr>
          <w:rFonts w:ascii="Times New Roman" w:hAnsi="Times New Roman"/>
          <w:sz w:val="20"/>
        </w:rPr>
        <w:t>esquisa - CNPq</w:t>
      </w:r>
      <w:r w:rsidR="00D26219" w:rsidRPr="00D26219">
        <w:rPr>
          <w:rFonts w:ascii="Times New Roman" w:hAnsi="Times New Roman"/>
          <w:sz w:val="20"/>
        </w:rPr>
        <w:t xml:space="preserve"> </w:t>
      </w:r>
    </w:p>
    <w:p w14:paraId="2942E4DD" w14:textId="77777777"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Área: </w:t>
      </w:r>
      <w:r w:rsidRPr="00F61E4E">
        <w:rPr>
          <w:rFonts w:ascii="Times New Roman" w:hAnsi="Times New Roman"/>
          <w:sz w:val="20"/>
        </w:rPr>
        <w:t>Engenharias</w:t>
      </w:r>
    </w:p>
    <w:p w14:paraId="0652B0B4" w14:textId="1FA61239" w:rsid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Palavras-chave</w:t>
      </w:r>
      <w:r w:rsidRPr="00F61E4E">
        <w:rPr>
          <w:rFonts w:ascii="Times New Roman" w:hAnsi="Times New Roman"/>
          <w:sz w:val="20"/>
        </w:rPr>
        <w:t xml:space="preserve">: </w:t>
      </w:r>
      <w:r w:rsidR="00967C7F">
        <w:rPr>
          <w:rFonts w:ascii="Times New Roman" w:hAnsi="Times New Roman"/>
          <w:sz w:val="20"/>
        </w:rPr>
        <w:t xml:space="preserve">Embalagem inteligente, </w:t>
      </w:r>
      <w:r w:rsidR="003836D7">
        <w:rPr>
          <w:rFonts w:ascii="Times New Roman" w:hAnsi="Times New Roman"/>
          <w:sz w:val="20"/>
        </w:rPr>
        <w:t>alizarina</w:t>
      </w:r>
      <w:r w:rsidR="00967C7F">
        <w:rPr>
          <w:rFonts w:ascii="Times New Roman" w:hAnsi="Times New Roman"/>
          <w:sz w:val="20"/>
        </w:rPr>
        <w:t xml:space="preserve">, pigmentos naturais, </w:t>
      </w:r>
      <w:proofErr w:type="spellStart"/>
      <w:r w:rsidR="00967C7F">
        <w:rPr>
          <w:rFonts w:ascii="Times New Roman" w:hAnsi="Times New Roman"/>
          <w:sz w:val="20"/>
        </w:rPr>
        <w:t>zeína</w:t>
      </w:r>
      <w:proofErr w:type="spellEnd"/>
      <w:r w:rsidR="00967C7F">
        <w:rPr>
          <w:rFonts w:ascii="Times New Roman" w:hAnsi="Times New Roman"/>
          <w:sz w:val="20"/>
        </w:rPr>
        <w:t xml:space="preserve">, gelatina. </w:t>
      </w:r>
    </w:p>
    <w:p w14:paraId="1E3B2D75" w14:textId="2C71F598" w:rsidR="00401519" w:rsidRPr="00401519" w:rsidRDefault="00401519" w:rsidP="00401519">
      <w:pPr>
        <w:pStyle w:val="Corpodetexto"/>
        <w:rPr>
          <w:rFonts w:ascii="Times New Roman" w:hAnsi="Times New Roman"/>
          <w:sz w:val="20"/>
        </w:rPr>
      </w:pPr>
      <w:r w:rsidRPr="00401519">
        <w:rPr>
          <w:rFonts w:ascii="Times New Roman" w:hAnsi="Times New Roman"/>
          <w:b/>
          <w:sz w:val="20"/>
        </w:rPr>
        <w:t xml:space="preserve">N. do Processo PIBIC/PIBIT (se aplicável): </w:t>
      </w:r>
      <w:r w:rsidRPr="004660D1">
        <w:rPr>
          <w:rFonts w:ascii="Times New Roman" w:hAnsi="Times New Roman"/>
          <w:color w:val="000000"/>
          <w:sz w:val="20"/>
          <w:shd w:val="clear" w:color="auto" w:fill="FFFFFF"/>
        </w:rPr>
        <w:t>162075/2024-3</w:t>
      </w:r>
    </w:p>
    <w:p w14:paraId="6A68E216" w14:textId="77777777" w:rsidR="00401519" w:rsidRPr="00F61E4E" w:rsidRDefault="00401519" w:rsidP="00F61E4E">
      <w:pPr>
        <w:pStyle w:val="Corpodetexto"/>
        <w:spacing w:line="240" w:lineRule="auto"/>
        <w:rPr>
          <w:rFonts w:ascii="Times New Roman" w:hAnsi="Times New Roman"/>
          <w:sz w:val="20"/>
        </w:rPr>
      </w:pPr>
    </w:p>
    <w:p w14:paraId="2C898E04" w14:textId="54E1F547" w:rsidR="00F61E4E" w:rsidRPr="00F61E4E" w:rsidRDefault="00F61E4E" w:rsidP="00F61E4E">
      <w:pPr>
        <w:pStyle w:val="Corpodetexto"/>
        <w:spacing w:line="240" w:lineRule="auto"/>
        <w:rPr>
          <w:rFonts w:ascii="Times New Roman" w:hAnsi="Times New Roman"/>
        </w:rPr>
      </w:pPr>
    </w:p>
    <w:sectPr w:rsidR="00F61E4E" w:rsidRPr="00F61E4E" w:rsidSect="00D053EE">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AD649" w14:textId="77777777" w:rsidR="00BB07BE" w:rsidRDefault="00BB07BE" w:rsidP="00E12AB0">
      <w:r>
        <w:separator/>
      </w:r>
    </w:p>
  </w:endnote>
  <w:endnote w:type="continuationSeparator" w:id="0">
    <w:p w14:paraId="293300F8" w14:textId="77777777" w:rsidR="00BB07BE" w:rsidRDefault="00BB07BE" w:rsidP="00E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3A19" w14:textId="77777777" w:rsidR="00E12AB0" w:rsidRDefault="00E12AB0" w:rsidP="00E12AB0">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C3F6" w14:textId="77777777" w:rsidR="00E12AB0" w:rsidRDefault="00E12AB0" w:rsidP="00E12AB0">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57ED" w14:textId="77777777" w:rsidR="00E12AB0" w:rsidRDefault="00E12AB0" w:rsidP="00E12AB0">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FC88" w14:textId="77777777" w:rsidR="00BB07BE" w:rsidRDefault="00BB07BE" w:rsidP="00E12AB0">
      <w:r>
        <w:separator/>
      </w:r>
    </w:p>
  </w:footnote>
  <w:footnote w:type="continuationSeparator" w:id="0">
    <w:p w14:paraId="7BD78E97" w14:textId="77777777" w:rsidR="00BB07BE" w:rsidRDefault="00BB07BE" w:rsidP="00E1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B2FB" w14:textId="77777777" w:rsidR="00E12AB0" w:rsidRDefault="00E12AB0" w:rsidP="00E12AB0">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6543" w14:textId="0A166051" w:rsidR="00E12AB0" w:rsidRDefault="00D26219" w:rsidP="00E12AB0">
    <w:pPr>
      <w:pStyle w:val="Cabealho"/>
      <w:ind w:left="0" w:hanging="2"/>
      <w:jc w:val="center"/>
      <w:rPr>
        <w:rFonts w:ascii="Times New Roman" w:hAnsi="Times New Roman" w:cs="Times New Roman"/>
        <w:sz w:val="20"/>
        <w:szCs w:val="20"/>
      </w:rPr>
    </w:pPr>
    <w:r>
      <w:rPr>
        <w:rFonts w:ascii="Times New Roman" w:hAnsi="Times New Roman" w:cs="Times New Roman"/>
        <w:sz w:val="20"/>
        <w:szCs w:val="20"/>
      </w:rPr>
      <w:t>Resumo</w:t>
    </w:r>
    <w:r>
      <w:rPr>
        <w:rFonts w:ascii="Times New Roman" w:hAnsi="Times New Roman" w:cs="Times New Roman"/>
        <w:sz w:val="20"/>
        <w:szCs w:val="20"/>
      </w:rPr>
      <w:t xml:space="preserve"> </w:t>
    </w:r>
    <w:r w:rsidR="00AD4C1E">
      <w:rPr>
        <w:rFonts w:ascii="Times New Roman" w:hAnsi="Times New Roman" w:cs="Times New Roman"/>
        <w:sz w:val="20"/>
        <w:szCs w:val="20"/>
      </w:rPr>
      <w:t>da 1</w:t>
    </w:r>
    <w:r w:rsidR="003836D7">
      <w:rPr>
        <w:rFonts w:ascii="Times New Roman" w:hAnsi="Times New Roman" w:cs="Times New Roman"/>
        <w:sz w:val="20"/>
        <w:szCs w:val="20"/>
      </w:rPr>
      <w:t>7</w:t>
    </w:r>
    <w:r w:rsidR="00E12AB0">
      <w:rPr>
        <w:rFonts w:ascii="Times New Roman" w:hAnsi="Times New Roman" w:cs="Times New Roman"/>
        <w:sz w:val="20"/>
        <w:szCs w:val="20"/>
      </w:rPr>
      <w:t>ª Jornada Cien</w:t>
    </w:r>
    <w:r w:rsidR="00AD4C1E">
      <w:rPr>
        <w:rFonts w:ascii="Times New Roman" w:hAnsi="Times New Roman" w:cs="Times New Roman"/>
        <w:sz w:val="20"/>
        <w:szCs w:val="20"/>
      </w:rPr>
      <w:t>tífica – Embrapa São Carlos – 2</w:t>
    </w:r>
    <w:r w:rsidR="003836D7">
      <w:rPr>
        <w:rFonts w:ascii="Times New Roman" w:hAnsi="Times New Roman" w:cs="Times New Roman"/>
        <w:sz w:val="20"/>
        <w:szCs w:val="20"/>
      </w:rPr>
      <w:t>2</w:t>
    </w:r>
    <w:r w:rsidR="00AD4C1E">
      <w:rPr>
        <w:rFonts w:ascii="Times New Roman" w:hAnsi="Times New Roman" w:cs="Times New Roman"/>
        <w:sz w:val="20"/>
        <w:szCs w:val="20"/>
      </w:rPr>
      <w:t xml:space="preserve"> de agosto de 202</w:t>
    </w:r>
    <w:r w:rsidR="003836D7">
      <w:rPr>
        <w:rFonts w:ascii="Times New Roman" w:hAnsi="Times New Roman" w:cs="Times New Roman"/>
        <w:sz w:val="20"/>
        <w:szCs w:val="20"/>
      </w:rPr>
      <w:t>5</w:t>
    </w:r>
  </w:p>
  <w:p w14:paraId="4BFF951B" w14:textId="3270BB8B" w:rsidR="00E12AB0" w:rsidRPr="00E12AB0" w:rsidRDefault="00E12AB0" w:rsidP="00E12AB0">
    <w:pPr>
      <w:pStyle w:val="Cabealho"/>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 xml:space="preserve">Embrapa </w:t>
    </w:r>
    <w:r w:rsidR="00D26219">
      <w:rPr>
        <w:rFonts w:ascii="Times New Roman" w:hAnsi="Times New Roman" w:cs="Times New Roman"/>
        <w:sz w:val="20"/>
        <w:szCs w:val="20"/>
      </w:rPr>
      <w:t>Pecuária Sudeste</w:t>
    </w:r>
    <w:r w:rsidR="00D26219">
      <w:rPr>
        <w:rFonts w:ascii="Times New Roman" w:hAnsi="Times New Roman" w:cs="Times New Roman"/>
        <w:sz w:val="20"/>
        <w:szCs w:val="20"/>
      </w:rPr>
      <w:t xml:space="preserve"> </w:t>
    </w:r>
    <w:r>
      <w:rPr>
        <w:rFonts w:ascii="Times New Roman" w:hAnsi="Times New Roman" w:cs="Times New Roman"/>
        <w:sz w:val="20"/>
        <w:szCs w:val="20"/>
      </w:rPr>
      <w:t xml:space="preserve">e Embrapa </w:t>
    </w:r>
    <w:r w:rsidR="00D26219">
      <w:rPr>
        <w:rFonts w:ascii="Times New Roman" w:hAnsi="Times New Roman" w:cs="Times New Roman"/>
        <w:sz w:val="20"/>
        <w:szCs w:val="20"/>
      </w:rPr>
      <w:t>Instrumentação</w:t>
    </w:r>
    <w:r>
      <w:rPr>
        <w:rFonts w:ascii="Times New Roman" w:hAnsi="Times New Roman" w:cs="Times New Roman"/>
        <w:sz w:val="20"/>
        <w:szCs w:val="20"/>
      </w:rPr>
      <w:t xml:space="preserve"> – São Carlos, SP - Brasil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5A379" w14:textId="77777777" w:rsidR="00E12AB0" w:rsidRDefault="00E12AB0" w:rsidP="00E12AB0">
    <w:pPr>
      <w:pStyle w:val="Cabealh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63"/>
    <w:rsid w:val="0000596F"/>
    <w:rsid w:val="00122A58"/>
    <w:rsid w:val="00183D40"/>
    <w:rsid w:val="002B6C6D"/>
    <w:rsid w:val="002C0BD5"/>
    <w:rsid w:val="002E0A8D"/>
    <w:rsid w:val="00336292"/>
    <w:rsid w:val="003477EB"/>
    <w:rsid w:val="003836D7"/>
    <w:rsid w:val="003A11A8"/>
    <w:rsid w:val="003B70EE"/>
    <w:rsid w:val="00401519"/>
    <w:rsid w:val="00484063"/>
    <w:rsid w:val="00495046"/>
    <w:rsid w:val="005112AA"/>
    <w:rsid w:val="0057319E"/>
    <w:rsid w:val="005C461E"/>
    <w:rsid w:val="005E2E6E"/>
    <w:rsid w:val="005F4E69"/>
    <w:rsid w:val="0061790E"/>
    <w:rsid w:val="006874DC"/>
    <w:rsid w:val="006D42E4"/>
    <w:rsid w:val="006E4254"/>
    <w:rsid w:val="00731E55"/>
    <w:rsid w:val="00756870"/>
    <w:rsid w:val="00785A21"/>
    <w:rsid w:val="008C10A6"/>
    <w:rsid w:val="008D1B21"/>
    <w:rsid w:val="00967C7F"/>
    <w:rsid w:val="00973843"/>
    <w:rsid w:val="00A47039"/>
    <w:rsid w:val="00A55BEC"/>
    <w:rsid w:val="00AD4C1E"/>
    <w:rsid w:val="00B46292"/>
    <w:rsid w:val="00B47FD2"/>
    <w:rsid w:val="00B718DE"/>
    <w:rsid w:val="00BB07BE"/>
    <w:rsid w:val="00CB5A7F"/>
    <w:rsid w:val="00CD0F93"/>
    <w:rsid w:val="00CF7283"/>
    <w:rsid w:val="00D053EE"/>
    <w:rsid w:val="00D26219"/>
    <w:rsid w:val="00D37443"/>
    <w:rsid w:val="00D43B89"/>
    <w:rsid w:val="00D6751D"/>
    <w:rsid w:val="00E12AB0"/>
    <w:rsid w:val="00E24AD5"/>
    <w:rsid w:val="00E47C2D"/>
    <w:rsid w:val="00E62BEB"/>
    <w:rsid w:val="00F55A6D"/>
    <w:rsid w:val="00F61E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F70D"/>
  <w15:docId w15:val="{E905966B-56BD-4A4C-8A19-6A14AACD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1">
    <w:name w:val="Menção Pendente1"/>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 w:type="paragraph" w:styleId="Reviso">
    <w:name w:val="Revision"/>
    <w:hidden/>
    <w:uiPriority w:val="99"/>
    <w:semiHidden/>
    <w:rsid w:val="00E24AD5"/>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393614">
      <w:bodyDiv w:val="1"/>
      <w:marLeft w:val="0"/>
      <w:marRight w:val="0"/>
      <w:marTop w:val="0"/>
      <w:marBottom w:val="0"/>
      <w:divBdr>
        <w:top w:val="none" w:sz="0" w:space="0" w:color="auto"/>
        <w:left w:val="none" w:sz="0" w:space="0" w:color="auto"/>
        <w:bottom w:val="none" w:sz="0" w:space="0" w:color="auto"/>
        <w:right w:val="none" w:sz="0" w:space="0" w:color="auto"/>
      </w:divBdr>
    </w:div>
    <w:div w:id="837185882">
      <w:bodyDiv w:val="1"/>
      <w:marLeft w:val="0"/>
      <w:marRight w:val="0"/>
      <w:marTop w:val="0"/>
      <w:marBottom w:val="0"/>
      <w:divBdr>
        <w:top w:val="none" w:sz="0" w:space="0" w:color="auto"/>
        <w:left w:val="none" w:sz="0" w:space="0" w:color="auto"/>
        <w:bottom w:val="none" w:sz="0" w:space="0" w:color="auto"/>
        <w:right w:val="none" w:sz="0" w:space="0" w:color="auto"/>
      </w:divBdr>
    </w:div>
    <w:div w:id="1663268569">
      <w:bodyDiv w:val="1"/>
      <w:marLeft w:val="0"/>
      <w:marRight w:val="0"/>
      <w:marTop w:val="0"/>
      <w:marBottom w:val="0"/>
      <w:divBdr>
        <w:top w:val="none" w:sz="0" w:space="0" w:color="auto"/>
        <w:left w:val="none" w:sz="0" w:space="0" w:color="auto"/>
        <w:bottom w:val="none" w:sz="0" w:space="0" w:color="auto"/>
        <w:right w:val="none" w:sz="0" w:space="0" w:color="auto"/>
      </w:divBdr>
    </w:div>
    <w:div w:id="204139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6869FD-ACAC-4BD4-BA71-729E0EF4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475</Words>
  <Characters>2567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dc:creator>
  <cp:lastModifiedBy>Leonardo Sentanin</cp:lastModifiedBy>
  <cp:revision>2</cp:revision>
  <cp:lastPrinted>2025-07-07T12:02:00Z</cp:lastPrinted>
  <dcterms:created xsi:type="dcterms:W3CDTF">2025-07-07T12:06:00Z</dcterms:created>
  <dcterms:modified xsi:type="dcterms:W3CDTF">2025-07-07T12:06:00Z</dcterms:modified>
</cp:coreProperties>
</file>