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309F" w14:textId="1B933955" w:rsidR="002C0BD5" w:rsidRDefault="009131D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131D4">
        <w:rPr>
          <w:rFonts w:ascii="Times New Roman" w:hAnsi="Times New Roman" w:cs="Times New Roman"/>
          <w:b/>
          <w:snapToGrid w:val="0"/>
          <w:sz w:val="28"/>
        </w:rPr>
        <w:t>Quantificação de carbono</w:t>
      </w:r>
      <w:r>
        <w:rPr>
          <w:rFonts w:ascii="Times New Roman" w:hAnsi="Times New Roman" w:cs="Times New Roman"/>
          <w:b/>
          <w:snapToGrid w:val="0"/>
          <w:sz w:val="28"/>
        </w:rPr>
        <w:t xml:space="preserve"> e nutrientes totais</w:t>
      </w:r>
      <w:r w:rsidRPr="009131D4">
        <w:rPr>
          <w:rFonts w:ascii="Times New Roman" w:hAnsi="Times New Roman" w:cs="Times New Roman"/>
          <w:b/>
          <w:snapToGrid w:val="0"/>
          <w:sz w:val="28"/>
        </w:rPr>
        <w:t xml:space="preserve"> em solos utilizando a técnica LIBS</w:t>
      </w:r>
      <w:r>
        <w:rPr>
          <w:rFonts w:ascii="Times New Roman" w:hAnsi="Times New Roman" w:cs="Times New Roman"/>
          <w:b/>
          <w:snapToGrid w:val="0"/>
          <w:sz w:val="28"/>
        </w:rPr>
        <w:t xml:space="preserve">: </w:t>
      </w:r>
      <w:r w:rsidR="00A30B7B" w:rsidRPr="00A30B7B">
        <w:rPr>
          <w:rFonts w:ascii="Times New Roman" w:hAnsi="Times New Roman" w:cs="Times New Roman"/>
          <w:b/>
          <w:snapToGrid w:val="0"/>
          <w:sz w:val="28"/>
        </w:rPr>
        <w:t>Uma alternativa rápida e precisa às técnicas convencionais</w:t>
      </w:r>
      <w:r w:rsidR="00A30B7B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14:paraId="371E30A0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44A5880" w14:textId="61CF7E53" w:rsidR="001D784F" w:rsidRPr="002E0A8D" w:rsidRDefault="001D784F" w:rsidP="001D784F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Luís Carlos Leva Borduchi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</w:rPr>
        <w:t>, Débora Marcondes Basto</w:t>
      </w:r>
      <w:r w:rsidR="007B7FF3">
        <w:rPr>
          <w:rFonts w:ascii="Times New Roman" w:hAnsi="Times New Roman" w:cs="Times New Roman"/>
          <w:snapToGrid w:val="0"/>
          <w:sz w:val="22"/>
          <w:szCs w:val="22"/>
        </w:rPr>
        <w:t>s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Pereira Milori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Ladislau Martin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14:paraId="3331E537" w14:textId="77777777" w:rsidR="001D784F" w:rsidRPr="00F61E4E" w:rsidRDefault="001D784F" w:rsidP="001D784F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C334A19" w14:textId="77777777" w:rsidR="001D784F" w:rsidRPr="002E0A8D" w:rsidRDefault="001D784F" w:rsidP="001D784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>
        <w:rPr>
          <w:rFonts w:ascii="Times New Roman" w:hAnsi="Times New Roman" w:cs="Times New Roman"/>
          <w:snapToGrid w:val="0"/>
          <w:sz w:val="20"/>
          <w:szCs w:val="20"/>
        </w:rPr>
        <w:t>Física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de São </w:t>
      </w:r>
      <w:r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SP. Bolsista PIBIC/CNPq, Embrapa Instrumentação, São Carlos, SP; </w:t>
      </w:r>
      <w:r>
        <w:rPr>
          <w:rFonts w:ascii="Times New Roman" w:hAnsi="Times New Roman" w:cs="Times New Roman"/>
          <w:snapToGrid w:val="0"/>
          <w:sz w:val="20"/>
          <w:szCs w:val="20"/>
        </w:rPr>
        <w:t>luisleva@usp.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br.</w:t>
      </w:r>
    </w:p>
    <w:p w14:paraId="76AE4FC2" w14:textId="77777777" w:rsidR="001D784F" w:rsidRPr="00F61E4E" w:rsidRDefault="001D784F" w:rsidP="001D784F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 da Embrapa Instrumentação, São Carlos, SP.</w:t>
      </w:r>
    </w:p>
    <w:p w14:paraId="371E30A8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71E30A9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AB7F6F0" w14:textId="5A3DF08B" w:rsidR="00126354" w:rsidRPr="00126354" w:rsidRDefault="00126354" w:rsidP="00126354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126354">
        <w:rPr>
          <w:rFonts w:ascii="Times New Roman" w:hAnsi="Times New Roman"/>
          <w:snapToGrid w:val="0"/>
        </w:rPr>
        <w:t xml:space="preserve">A quantificação de elementos em solos é fundamental para o setor agroambiental, especialmente no monitoramento do carbono (C), com aplicações em estudos de sequestro de carbono, manejo da matéria orgânica e mudanças climáticas. A agricultura de precisão também exige análises </w:t>
      </w:r>
      <w:proofErr w:type="spellStart"/>
      <w:r w:rsidRPr="00126354">
        <w:rPr>
          <w:rFonts w:ascii="Times New Roman" w:hAnsi="Times New Roman"/>
          <w:snapToGrid w:val="0"/>
        </w:rPr>
        <w:t>multielementares</w:t>
      </w:r>
      <w:proofErr w:type="spellEnd"/>
      <w:r w:rsidRPr="00126354">
        <w:rPr>
          <w:rFonts w:ascii="Times New Roman" w:hAnsi="Times New Roman"/>
          <w:snapToGrid w:val="0"/>
        </w:rPr>
        <w:t xml:space="preserve"> em larga escala para correção da heterogeneidade do solo e planejamento de fertilização. Enquanto análises convencionais se concentram nos nutrientes disponíveis às plantas, a quantificação dos nutrientes totais oferece uma visão mais abrangente da fertilidade, essencial para o manejo sustentável, o planejamento de longo prazo e a recuperação de áreas degradadas.</w:t>
      </w:r>
      <w:r>
        <w:rPr>
          <w:rFonts w:ascii="Times New Roman" w:hAnsi="Times New Roman"/>
          <w:snapToGrid w:val="0"/>
        </w:rPr>
        <w:t xml:space="preserve"> </w:t>
      </w:r>
      <w:r w:rsidRPr="00126354">
        <w:rPr>
          <w:rFonts w:ascii="Times New Roman" w:hAnsi="Times New Roman"/>
          <w:snapToGrid w:val="0"/>
        </w:rPr>
        <w:t xml:space="preserve">No entanto, métodos tradicionais como o analisador CHNS e a </w:t>
      </w:r>
      <w:r w:rsidRPr="004A0EA5">
        <w:rPr>
          <w:rFonts w:ascii="Times New Roman" w:hAnsi="Times New Roman"/>
          <w:snapToGrid w:val="0"/>
        </w:rPr>
        <w:t>espectrometria de absorção atômica (AAS) apresentam limitações em custo, tempo e uso de reagentes, o que</w:t>
      </w:r>
      <w:r w:rsidR="005D528F" w:rsidRPr="004A0EA5">
        <w:rPr>
          <w:rFonts w:ascii="Times New Roman" w:hAnsi="Times New Roman"/>
          <w:snapToGrid w:val="0"/>
        </w:rPr>
        <w:t xml:space="preserve"> para análises de grandes quantidades de amostras de solos, como requer o agro brasileiro,</w:t>
      </w:r>
      <w:r w:rsidRPr="004A0EA5">
        <w:rPr>
          <w:rFonts w:ascii="Times New Roman" w:hAnsi="Times New Roman"/>
          <w:snapToGrid w:val="0"/>
        </w:rPr>
        <w:t xml:space="preserve"> restringe sua aplicação rotineira. Nesse contexto, a espectroscopia de plasma induzido por laser (LIBS) destaca-se como alternativa promissora por ser rápida, se</w:t>
      </w:r>
      <w:r w:rsidR="0031251B" w:rsidRPr="004A0EA5">
        <w:rPr>
          <w:rFonts w:ascii="Times New Roman" w:hAnsi="Times New Roman"/>
          <w:snapToGrid w:val="0"/>
        </w:rPr>
        <w:softHyphen/>
      </w:r>
      <w:r w:rsidRPr="004A0EA5">
        <w:rPr>
          <w:rFonts w:ascii="Times New Roman" w:hAnsi="Times New Roman"/>
          <w:snapToGrid w:val="0"/>
        </w:rPr>
        <w:t xml:space="preserve">m necessidade de preparo químico e com baixa geração </w:t>
      </w:r>
      <w:r w:rsidR="005D528F" w:rsidRPr="004A0EA5">
        <w:rPr>
          <w:rFonts w:ascii="Times New Roman" w:hAnsi="Times New Roman"/>
          <w:snapToGrid w:val="0"/>
        </w:rPr>
        <w:t>de resíduos. Apesar disso, tem que reduzir</w:t>
      </w:r>
      <w:r w:rsidRPr="004A0EA5">
        <w:rPr>
          <w:rFonts w:ascii="Times New Roman" w:hAnsi="Times New Roman"/>
          <w:snapToGrid w:val="0"/>
        </w:rPr>
        <w:t xml:space="preserve"> efeitos de matriz e interferências espectrais, que comprometem a precisão em modelos de calibração convencionais. Neste </w:t>
      </w:r>
      <w:r w:rsidRPr="00126354">
        <w:rPr>
          <w:rFonts w:ascii="Times New Roman" w:hAnsi="Times New Roman"/>
          <w:snapToGrid w:val="0"/>
        </w:rPr>
        <w:t xml:space="preserve">estudo, empregou-se a abordagem </w:t>
      </w:r>
      <w:proofErr w:type="spellStart"/>
      <w:r w:rsidR="006B5ACC">
        <w:rPr>
          <w:rFonts w:ascii="Times New Roman" w:hAnsi="Times New Roman"/>
          <w:snapToGrid w:val="0"/>
        </w:rPr>
        <w:t>o</w:t>
      </w:r>
      <w:r w:rsidRPr="00126354">
        <w:rPr>
          <w:rFonts w:ascii="Times New Roman" w:hAnsi="Times New Roman"/>
          <w:i/>
          <w:iCs/>
          <w:snapToGrid w:val="0"/>
        </w:rPr>
        <w:t>ne</w:t>
      </w:r>
      <w:proofErr w:type="spellEnd"/>
      <w:r w:rsidRPr="00126354">
        <w:rPr>
          <w:rFonts w:ascii="Times New Roman" w:hAnsi="Times New Roman"/>
          <w:i/>
          <w:iCs/>
          <w:snapToGrid w:val="0"/>
        </w:rPr>
        <w:t>-</w:t>
      </w:r>
      <w:r w:rsidR="006B5ACC">
        <w:rPr>
          <w:rFonts w:ascii="Times New Roman" w:hAnsi="Times New Roman"/>
          <w:i/>
          <w:iCs/>
          <w:snapToGrid w:val="0"/>
        </w:rPr>
        <w:t>p</w:t>
      </w:r>
      <w:r w:rsidRPr="00126354">
        <w:rPr>
          <w:rFonts w:ascii="Times New Roman" w:hAnsi="Times New Roman"/>
          <w:i/>
          <w:iCs/>
          <w:snapToGrid w:val="0"/>
        </w:rPr>
        <w:t xml:space="preserve">oint </w:t>
      </w:r>
      <w:proofErr w:type="spellStart"/>
      <w:r w:rsidR="006B5ACC">
        <w:rPr>
          <w:rFonts w:ascii="Times New Roman" w:hAnsi="Times New Roman"/>
          <w:i/>
          <w:iCs/>
          <w:snapToGrid w:val="0"/>
        </w:rPr>
        <w:t>c</w:t>
      </w:r>
      <w:r w:rsidRPr="00126354">
        <w:rPr>
          <w:rFonts w:ascii="Times New Roman" w:hAnsi="Times New Roman"/>
          <w:i/>
          <w:iCs/>
          <w:snapToGrid w:val="0"/>
        </w:rPr>
        <w:t>alibration</w:t>
      </w:r>
      <w:proofErr w:type="spellEnd"/>
      <w:r w:rsidRPr="00126354">
        <w:rPr>
          <w:rFonts w:ascii="Times New Roman" w:hAnsi="Times New Roman"/>
          <w:i/>
          <w:iCs/>
          <w:snapToGrid w:val="0"/>
        </w:rPr>
        <w:t xml:space="preserve"> LIBS</w:t>
      </w:r>
      <w:r w:rsidRPr="00126354">
        <w:rPr>
          <w:rFonts w:ascii="Times New Roman" w:hAnsi="Times New Roman"/>
          <w:snapToGrid w:val="0"/>
        </w:rPr>
        <w:t xml:space="preserve"> (OPC-LIBS), que combina propriedades do plasma com calibração empírica usando o alumínio como padrão interno, para quantificar C, </w:t>
      </w:r>
      <w:r w:rsidR="00650766" w:rsidRPr="00650766">
        <w:rPr>
          <w:rFonts w:ascii="Times New Roman" w:hAnsi="Times New Roman"/>
          <w:snapToGrid w:val="0"/>
        </w:rPr>
        <w:t>potássio (K), cálcio (Ca), magnésio (Mg), cobre (Cu), ferro (Fe) e sódio (Na)</w:t>
      </w:r>
      <w:r w:rsidRPr="00126354">
        <w:rPr>
          <w:rFonts w:ascii="Times New Roman" w:hAnsi="Times New Roman"/>
          <w:snapToGrid w:val="0"/>
        </w:rPr>
        <w:t xml:space="preserve"> em solos brasileiros com diferentes características físico-químicas: 36 amostras do Cerrado (Mato Grosso do Sul) e 48 da Mata Atlântica (São Carlos, SP). Os resultados foram comparados aos obtidos por técnicas de referência, com CHNS para o C e AAS para os demais elementos.</w:t>
      </w:r>
      <w:r>
        <w:rPr>
          <w:rFonts w:ascii="Times New Roman" w:hAnsi="Times New Roman"/>
          <w:snapToGrid w:val="0"/>
        </w:rPr>
        <w:t xml:space="preserve"> </w:t>
      </w:r>
      <w:r w:rsidRPr="00126354">
        <w:rPr>
          <w:rFonts w:ascii="Times New Roman" w:hAnsi="Times New Roman"/>
          <w:snapToGrid w:val="0"/>
        </w:rPr>
        <w:t>As análises foram realizadas com um sistema comercial LIBS2500+ (</w:t>
      </w:r>
      <w:proofErr w:type="spellStart"/>
      <w:r w:rsidRPr="00126354">
        <w:rPr>
          <w:rFonts w:ascii="Times New Roman" w:hAnsi="Times New Roman"/>
          <w:snapToGrid w:val="0"/>
        </w:rPr>
        <w:t>Ocean</w:t>
      </w:r>
      <w:proofErr w:type="spellEnd"/>
      <w:r w:rsidRPr="00126354">
        <w:rPr>
          <w:rFonts w:ascii="Times New Roman" w:hAnsi="Times New Roman"/>
          <w:snapToGrid w:val="0"/>
        </w:rPr>
        <w:t xml:space="preserve"> </w:t>
      </w:r>
      <w:proofErr w:type="spellStart"/>
      <w:r w:rsidRPr="00126354">
        <w:rPr>
          <w:rFonts w:ascii="Times New Roman" w:hAnsi="Times New Roman"/>
          <w:snapToGrid w:val="0"/>
        </w:rPr>
        <w:t>Optics</w:t>
      </w:r>
      <w:proofErr w:type="spellEnd"/>
      <w:r w:rsidRPr="00126354">
        <w:rPr>
          <w:rFonts w:ascii="Times New Roman" w:hAnsi="Times New Roman"/>
          <w:snapToGrid w:val="0"/>
        </w:rPr>
        <w:t xml:space="preserve">), equipado com laser </w:t>
      </w:r>
      <w:proofErr w:type="spellStart"/>
      <w:r w:rsidRPr="00126354">
        <w:rPr>
          <w:rFonts w:ascii="Times New Roman" w:hAnsi="Times New Roman"/>
          <w:snapToGrid w:val="0"/>
        </w:rPr>
        <w:t>Nd:YAG</w:t>
      </w:r>
      <w:proofErr w:type="spellEnd"/>
      <w:r w:rsidRPr="00126354">
        <w:rPr>
          <w:rFonts w:ascii="Times New Roman" w:hAnsi="Times New Roman"/>
          <w:snapToGrid w:val="0"/>
        </w:rPr>
        <w:t xml:space="preserve"> pulsado (1064 </w:t>
      </w:r>
      <w:proofErr w:type="spellStart"/>
      <w:r w:rsidRPr="00126354">
        <w:rPr>
          <w:rFonts w:ascii="Times New Roman" w:hAnsi="Times New Roman"/>
          <w:snapToGrid w:val="0"/>
        </w:rPr>
        <w:t>nm</w:t>
      </w:r>
      <w:proofErr w:type="spellEnd"/>
      <w:r w:rsidRPr="00126354">
        <w:rPr>
          <w:rFonts w:ascii="Times New Roman" w:hAnsi="Times New Roman"/>
          <w:snapToGrid w:val="0"/>
        </w:rPr>
        <w:t xml:space="preserve">, 8 </w:t>
      </w:r>
      <w:proofErr w:type="spellStart"/>
      <w:r w:rsidRPr="00126354">
        <w:rPr>
          <w:rFonts w:ascii="Times New Roman" w:hAnsi="Times New Roman"/>
          <w:snapToGrid w:val="0"/>
        </w:rPr>
        <w:t>ns</w:t>
      </w:r>
      <w:proofErr w:type="spellEnd"/>
      <w:r w:rsidRPr="00126354">
        <w:rPr>
          <w:rFonts w:ascii="Times New Roman" w:hAnsi="Times New Roman"/>
          <w:snapToGrid w:val="0"/>
        </w:rPr>
        <w:t xml:space="preserve">, 50 </w:t>
      </w:r>
      <w:proofErr w:type="spellStart"/>
      <w:r w:rsidRPr="00126354">
        <w:rPr>
          <w:rFonts w:ascii="Times New Roman" w:hAnsi="Times New Roman"/>
          <w:snapToGrid w:val="0"/>
        </w:rPr>
        <w:t>mJ</w:t>
      </w:r>
      <w:proofErr w:type="spellEnd"/>
      <w:r w:rsidRPr="00126354">
        <w:rPr>
          <w:rFonts w:ascii="Times New Roman" w:hAnsi="Times New Roman"/>
          <w:snapToGrid w:val="0"/>
        </w:rPr>
        <w:t xml:space="preserve">) e sete espectrômetros cobrindo de 188 a 960 </w:t>
      </w:r>
      <w:proofErr w:type="spellStart"/>
      <w:r w:rsidRPr="00126354">
        <w:rPr>
          <w:rFonts w:ascii="Times New Roman" w:hAnsi="Times New Roman"/>
          <w:snapToGrid w:val="0"/>
        </w:rPr>
        <w:t>nm</w:t>
      </w:r>
      <w:proofErr w:type="spellEnd"/>
      <w:r w:rsidRPr="00126354">
        <w:rPr>
          <w:rFonts w:ascii="Times New Roman" w:hAnsi="Times New Roman"/>
          <w:snapToGrid w:val="0"/>
        </w:rPr>
        <w:t xml:space="preserve">. A fluência foi estimada em 8 kJ/cm², e 60 espectros foram adquiridos por amostra. Um modelo baseado na equação de Boltzmann foi desenvolvido para corrigir a interferência do Al na linha C I 193,03 </w:t>
      </w:r>
      <w:proofErr w:type="spellStart"/>
      <w:r w:rsidRPr="00126354">
        <w:rPr>
          <w:rFonts w:ascii="Times New Roman" w:hAnsi="Times New Roman"/>
          <w:snapToGrid w:val="0"/>
        </w:rPr>
        <w:t>nm</w:t>
      </w:r>
      <w:proofErr w:type="spellEnd"/>
      <w:r w:rsidRPr="00126354">
        <w:rPr>
          <w:rFonts w:ascii="Times New Roman" w:hAnsi="Times New Roman"/>
          <w:snapToGrid w:val="0"/>
        </w:rPr>
        <w:t>. Apesar das limitações de generalização entre diferentes solos, a aplicação do OPC-LIBS resultou em alta precisão, com acurácia acima de 90% para todos os elementos e r² variando entre 0,85 e 0,97. Para o carbono, obteve-se acurácia de 91%, RMSE de 1,3 g/kg e r² de 0,95.</w:t>
      </w:r>
      <w:r>
        <w:rPr>
          <w:rFonts w:ascii="Times New Roman" w:hAnsi="Times New Roman"/>
          <w:snapToGrid w:val="0"/>
        </w:rPr>
        <w:t xml:space="preserve"> </w:t>
      </w:r>
      <w:r w:rsidRPr="00126354">
        <w:rPr>
          <w:rFonts w:ascii="Times New Roman" w:hAnsi="Times New Roman"/>
          <w:snapToGrid w:val="0"/>
        </w:rPr>
        <w:t>Além da robustez analítica, a técnica se destaca pela viabilidade de automação, portabilidade e uso em campo, sendo adequada para o monitoramento da fertilidade do solo, reabilitação de áreas degradadas e apoio à agricultura sustentável. Os resultados demonstram que o OPC-LIBS é uma alternativa rápida, precisa e de baixo custo para análise multielementar de solos, com potencial para complementar ou substituir métodos convencionais em contextos agroambientais.</w:t>
      </w:r>
    </w:p>
    <w:p w14:paraId="371E30AC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83D3750" w14:textId="111F571D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Pr="004A0EA5">
        <w:rPr>
          <w:rFonts w:ascii="Times New Roman" w:hAnsi="Times New Roman"/>
          <w:sz w:val="20"/>
        </w:rPr>
        <w:t>Embrapa</w:t>
      </w:r>
      <w:r w:rsidR="002C5860" w:rsidRPr="004A0EA5">
        <w:rPr>
          <w:rFonts w:ascii="Times New Roman" w:hAnsi="Times New Roman"/>
          <w:sz w:val="20"/>
        </w:rPr>
        <w:t xml:space="preserve">, Projeto Fapesp n. 2023/02444-5. </w:t>
      </w:r>
    </w:p>
    <w:p w14:paraId="4F7FBC52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Pr="007668DA">
        <w:rPr>
          <w:rFonts w:ascii="Times New Roman" w:hAnsi="Times New Roman"/>
          <w:sz w:val="20"/>
        </w:rPr>
        <w:t>Ciências Exatas e da Terra</w:t>
      </w:r>
    </w:p>
    <w:p w14:paraId="726881D5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Pr="007668DA">
        <w:rPr>
          <w:rFonts w:ascii="Times New Roman" w:hAnsi="Times New Roman"/>
          <w:sz w:val="20"/>
        </w:rPr>
        <w:t xml:space="preserve">LIBS, </w:t>
      </w:r>
      <w:proofErr w:type="spellStart"/>
      <w:r w:rsidRPr="007668DA">
        <w:rPr>
          <w:rFonts w:ascii="Times New Roman" w:hAnsi="Times New Roman"/>
          <w:sz w:val="20"/>
        </w:rPr>
        <w:t>one</w:t>
      </w:r>
      <w:proofErr w:type="spellEnd"/>
      <w:r w:rsidRPr="007668DA">
        <w:rPr>
          <w:rFonts w:ascii="Times New Roman" w:hAnsi="Times New Roman"/>
          <w:sz w:val="20"/>
        </w:rPr>
        <w:t xml:space="preserve">-point </w:t>
      </w:r>
      <w:proofErr w:type="spellStart"/>
      <w:r w:rsidRPr="007668DA">
        <w:rPr>
          <w:rFonts w:ascii="Times New Roman" w:hAnsi="Times New Roman"/>
          <w:sz w:val="20"/>
        </w:rPr>
        <w:t>calibration</w:t>
      </w:r>
      <w:proofErr w:type="spellEnd"/>
      <w:r w:rsidRPr="007668DA">
        <w:rPr>
          <w:rFonts w:ascii="Times New Roman" w:hAnsi="Times New Roman"/>
          <w:sz w:val="20"/>
        </w:rPr>
        <w:t>, carbono em solo</w:t>
      </w:r>
      <w:r w:rsidRPr="00F61E4E">
        <w:rPr>
          <w:rFonts w:ascii="Times New Roman" w:hAnsi="Times New Roman"/>
          <w:sz w:val="20"/>
        </w:rPr>
        <w:t>.</w:t>
      </w:r>
    </w:p>
    <w:p w14:paraId="2E49C5BC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Não aplicável</w:t>
      </w:r>
    </w:p>
    <w:p w14:paraId="5F3392CA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Não aplicável</w:t>
      </w:r>
      <w:r w:rsidRPr="00F61E4E">
        <w:rPr>
          <w:rFonts w:ascii="Times New Roman" w:hAnsi="Times New Roman"/>
          <w:sz w:val="20"/>
        </w:rPr>
        <w:t xml:space="preserve"> </w:t>
      </w:r>
    </w:p>
    <w:p w14:paraId="589332E3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Pr="007668DA">
        <w:rPr>
          <w:rFonts w:ascii="Times New Roman" w:hAnsi="Times New Roman"/>
          <w:sz w:val="20"/>
        </w:rPr>
        <w:t>106023/2024-1</w:t>
      </w:r>
    </w:p>
    <w:sectPr w:rsidR="007B7FF3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EE4C" w14:textId="77777777" w:rsidR="00A649DB" w:rsidRDefault="00A649DB" w:rsidP="00E12AB0">
      <w:r>
        <w:separator/>
      </w:r>
    </w:p>
  </w:endnote>
  <w:endnote w:type="continuationSeparator" w:id="0">
    <w:p w14:paraId="3C5AD43F" w14:textId="77777777" w:rsidR="00A649DB" w:rsidRDefault="00A649DB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B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D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16C3" w14:textId="77777777" w:rsidR="00A649DB" w:rsidRDefault="00A649DB" w:rsidP="00E12AB0">
      <w:r>
        <w:separator/>
      </w:r>
    </w:p>
  </w:footnote>
  <w:footnote w:type="continuationSeparator" w:id="0">
    <w:p w14:paraId="7196E9B4" w14:textId="77777777" w:rsidR="00A649DB" w:rsidRDefault="00A649DB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8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371E30B9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126354"/>
    <w:rsid w:val="00195840"/>
    <w:rsid w:val="001D774E"/>
    <w:rsid w:val="001D784F"/>
    <w:rsid w:val="002B6C6D"/>
    <w:rsid w:val="002C0BD5"/>
    <w:rsid w:val="002C5860"/>
    <w:rsid w:val="002E0A8D"/>
    <w:rsid w:val="0031251B"/>
    <w:rsid w:val="003477EB"/>
    <w:rsid w:val="003A62EE"/>
    <w:rsid w:val="00413C21"/>
    <w:rsid w:val="00484063"/>
    <w:rsid w:val="0049148E"/>
    <w:rsid w:val="004946C2"/>
    <w:rsid w:val="004A0EA5"/>
    <w:rsid w:val="004E2028"/>
    <w:rsid w:val="005112AA"/>
    <w:rsid w:val="0057319E"/>
    <w:rsid w:val="005D528F"/>
    <w:rsid w:val="00631539"/>
    <w:rsid w:val="00650766"/>
    <w:rsid w:val="006B5ACC"/>
    <w:rsid w:val="006D42E4"/>
    <w:rsid w:val="00716B4E"/>
    <w:rsid w:val="00785A21"/>
    <w:rsid w:val="007A7A2E"/>
    <w:rsid w:val="007B7FF3"/>
    <w:rsid w:val="008C11A2"/>
    <w:rsid w:val="008D1B21"/>
    <w:rsid w:val="009131D4"/>
    <w:rsid w:val="00940D47"/>
    <w:rsid w:val="00A30B7B"/>
    <w:rsid w:val="00A649DB"/>
    <w:rsid w:val="00AD23EF"/>
    <w:rsid w:val="00B46292"/>
    <w:rsid w:val="00B47FD2"/>
    <w:rsid w:val="00CD0F93"/>
    <w:rsid w:val="00CF7283"/>
    <w:rsid w:val="00D053EE"/>
    <w:rsid w:val="00D531A0"/>
    <w:rsid w:val="00D6751D"/>
    <w:rsid w:val="00E12AB0"/>
    <w:rsid w:val="00F306EF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309F"/>
  <w15:docId w15:val="{657E1677-A591-4A32-9980-E71EE6DB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8BF140-93AE-4FE3-B52E-262F774B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Luis Carlos Leva Borduchi</cp:lastModifiedBy>
  <cp:revision>5</cp:revision>
  <dcterms:created xsi:type="dcterms:W3CDTF">2025-07-10T11:36:00Z</dcterms:created>
  <dcterms:modified xsi:type="dcterms:W3CDTF">2025-07-10T19:25:00Z</dcterms:modified>
</cp:coreProperties>
</file>