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bookmarkStart w:colFirst="0" w:colLast="0" w:name="_heading=h.43wxvxmf4cly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Análise genética da característica de repelência e sua associação com comportamento, critérios raciais e de produtividade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  <w:vertAlign w:val="superscript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Beatriz Aparecida Niimoto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sz w:val="22"/>
          <w:szCs w:val="22"/>
          <w:rtl w:val="0"/>
        </w:rPr>
        <w:t xml:space="preserve">; Gabriel Costa Medeiros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sz w:val="22"/>
          <w:szCs w:val="22"/>
          <w:rtl w:val="0"/>
        </w:rPr>
        <w:t xml:space="preserve">; Elisângela Chicaroni de Mattos Oliveira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sz w:val="22"/>
          <w:szCs w:val="22"/>
          <w:rtl w:val="0"/>
        </w:rPr>
        <w:t xml:space="preserve">; Rachel Santos Bueno de Carvalho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4 </w:t>
      </w:r>
      <w:r w:rsidDel="00000000" w:rsidR="00000000" w:rsidRPr="00000000">
        <w:rPr>
          <w:sz w:val="22"/>
          <w:szCs w:val="22"/>
          <w:rtl w:val="0"/>
        </w:rPr>
        <w:t xml:space="preserve">e José Bento Sterman Ferraz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4</w:t>
      </w:r>
    </w:p>
    <w:p w:rsidR="00000000" w:rsidDel="00000000" w:rsidP="00000000" w:rsidRDefault="00000000" w:rsidRPr="00000000" w14:paraId="00000004">
      <w:pPr>
        <w:shd w:fill="ffffff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Aluna de graduação em Medicina Veterinária, Faculdade de Zootecnia e Engenharia de Alimentos da USP (FZEA/USP), Pirassununga, SP; beatrizniimoto@usp.br.</w:t>
      </w:r>
    </w:p>
    <w:p w:rsidR="00000000" w:rsidDel="00000000" w:rsidP="00000000" w:rsidRDefault="00000000" w:rsidRPr="00000000" w14:paraId="00000006">
      <w:pPr>
        <w:pStyle w:val="Heading3"/>
        <w:rPr>
          <w:vertAlign w:val="superscript"/>
        </w:rPr>
      </w:pPr>
      <w:bookmarkStart w:colFirst="0" w:colLast="0" w:name="_heading=h.9f5vmtmypul4" w:id="1"/>
      <w:bookmarkEnd w:id="1"/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Doutorando do Programa de Pós-Graduação em Biociência Animal, FZEA/USP, Pirassununga,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Técnica da Central de Multiusuário de Biologia Molecular e Bioinformática, FZEA/USP, Pirassununga, SP.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sz w:val="20"/>
          <w:szCs w:val="20"/>
          <w:rtl w:val="0"/>
        </w:rPr>
        <w:t xml:space="preserve">Docentes da Faculdade de Zootecnia e Engenharia de Alimentos da USP, Pirassununga,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repelência pode ser definida como a capacidade do animal de resistir a ectoparasitas e engloba questões comportamentais, como agitação corporal e movimentação da cauda para afastar insetos, características genéticas e ambientais, como níveis de infestação no rebanho e aplicação de parasiticidas. Diante disso, torna-se necessário compreender melhor essa característica e sua relação com outras características produtivas relevantes para bovinos de corte. Foram utilizados dados de 66.591 bovinos da raça Nelore, da Linhagem Lemgruber, gerenciados pelo Grupo de Melhoramento Animal e Biotecnologia da FZEA. O controle de qualidade foi realizado no software R,  as  características avaliadas foram: repelência (REP, em escore de 1 a 5, com valores maiores representando maior resistência/repelência a mosca do chifre e carrapatos), temperamento (TEMP, em escore de 1 a 5, com maior pontuação indicando maior docilidade), padrão racial (PR, em escore de 1 a 5, de acordo com os critérios raciais da Associação Brasileira de Criadores de Zebuínos), padrão Lemgruber (PL, em escore de 1 a 5, indicando a concordância com características específicas da linhagem Lemgruber) e peso aos 18 meses (P18, em kg). O modelo genético animal completo utilizado, em notação matricial, é: </w:t>
      </w:r>
      <w:r w:rsidDel="00000000" w:rsidR="00000000" w:rsidRPr="00000000">
        <w:rPr>
          <w:b w:val="1"/>
          <w:rtl w:val="0"/>
        </w:rPr>
        <w:t xml:space="preserve">y = Xβ + Zu + e,</w:t>
      </w:r>
      <w:r w:rsidDel="00000000" w:rsidR="00000000" w:rsidRPr="00000000">
        <w:rPr>
          <w:rtl w:val="0"/>
        </w:rPr>
        <w:t xml:space="preserve"> em que </w:t>
      </w:r>
      <w:r w:rsidDel="00000000" w:rsidR="00000000" w:rsidRPr="00000000">
        <w:rPr>
          <w:b w:val="1"/>
          <w:rtl w:val="0"/>
        </w:rPr>
        <w:t xml:space="preserve">y</w:t>
      </w:r>
      <w:r w:rsidDel="00000000" w:rsidR="00000000" w:rsidRPr="00000000">
        <w:rPr>
          <w:rtl w:val="0"/>
        </w:rPr>
        <w:t xml:space="preserve"> é o vetor das observações; </w:t>
      </w:r>
      <w:r w:rsidDel="00000000" w:rsidR="00000000" w:rsidRPr="00000000">
        <w:rPr>
          <w:b w:val="1"/>
          <w:rtl w:val="0"/>
        </w:rPr>
        <w:t xml:space="preserve">β</w:t>
      </w:r>
      <w:r w:rsidDel="00000000" w:rsidR="00000000" w:rsidRPr="00000000">
        <w:rPr>
          <w:rtl w:val="0"/>
        </w:rPr>
        <w:t xml:space="preserve"> o vetor dos efeitos fixos - grupo de contemporâneos e idade aos 18 meses linear e quadrática (para todas as variáveis) e idade da mãe (apenas para PR, PL e P18) -; </w:t>
      </w:r>
      <w:r w:rsidDel="00000000" w:rsidR="00000000" w:rsidRPr="00000000">
        <w:rPr>
          <w:b w:val="1"/>
          <w:rtl w:val="0"/>
        </w:rPr>
        <w:t xml:space="preserve">u</w:t>
      </w:r>
      <w:r w:rsidDel="00000000" w:rsidR="00000000" w:rsidRPr="00000000">
        <w:rPr>
          <w:rtl w:val="0"/>
        </w:rPr>
        <w:t xml:space="preserve"> o vetor dos efeitos genéticos aditivos diretos; </w:t>
      </w:r>
      <w:r w:rsidDel="00000000" w:rsidR="00000000" w:rsidRPr="00000000">
        <w:rPr>
          <w:b w:val="1"/>
          <w:rtl w:val="0"/>
        </w:rPr>
        <w:t xml:space="preserve">e</w:t>
      </w:r>
      <w:r w:rsidDel="00000000" w:rsidR="00000000" w:rsidRPr="00000000">
        <w:rPr>
          <w:rtl w:val="0"/>
        </w:rPr>
        <w:t xml:space="preserve"> o vetor de resíduos; </w:t>
      </w:r>
      <w:r w:rsidDel="00000000" w:rsidR="00000000" w:rsidRPr="00000000">
        <w:rPr>
          <w:b w:val="1"/>
          <w:rtl w:val="0"/>
        </w:rPr>
        <w:t xml:space="preserve">X</w:t>
      </w:r>
      <w:r w:rsidDel="00000000" w:rsidR="00000000" w:rsidRPr="00000000">
        <w:rPr>
          <w:rtl w:val="0"/>
        </w:rPr>
        <w:t xml:space="preserve"> e </w:t>
      </w:r>
      <w:r w:rsidDel="00000000" w:rsidR="00000000" w:rsidRPr="00000000">
        <w:rPr>
          <w:b w:val="1"/>
          <w:rtl w:val="0"/>
        </w:rPr>
        <w:t xml:space="preserve">Z</w:t>
      </w:r>
      <w:r w:rsidDel="00000000" w:rsidR="00000000" w:rsidRPr="00000000">
        <w:rPr>
          <w:rtl w:val="0"/>
        </w:rPr>
        <w:t xml:space="preserve"> são as matrizes de incidência dos efeitos fixos e genéticos, respectivamente. Cinco análises uni-característica, realizadas para estimação de componentes de variância (variâncias genéticas aditiva e residual) e coeficientes de herdabilidade. Quatro análises bi-características, para a estimação das covariâncias genéticas e residuais e de correlações genéticas de REP com as demais características, foram realizadas nos programas da família BLUPF90+, utilizando o método de máxima verossimilhança restrita. Os coeficientes de herdabilidade estimados (média ± erro padrão) foram: 0,1150 ± 0,0177 (REP), 0,3855 ± 0,0202 (TEMP), 0,1423 ± 0,01696 (PR), 0,3871 ± 0,0204 (PL) e 0,3398 ± 0,0156 (P18). As correlações genéticas com REP foram: -0,3812 ± 0,0764 (TEMP), 0,2388 ± 0,0987 (PR), -0,2158 ± 0,0740 (PL) e -0,3699 ± 0,0758 (P18). De acordo com os resultados apresentados, é possível inferir que a herdabilidade de REP e PR podem ser consideradas baixas, enquanto as demais são baixa a moderada. A correlação genética com TEMP foi moderada e negativa, pois quanto mais reativo o animal maior a repelência apresentada. A correlação foi desfavorável e de moderada magnitude com P18, indicando que quanto maior a REP, menor o P18. Com ambas as características morfológicas, foi de baixa magnitude, de modo que a seleção racial não apresenta impactos relevantes para a repelência.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2"/>
          <w:szCs w:val="22"/>
        </w:rPr>
      </w:pPr>
      <w:bookmarkStart w:colFirst="0" w:colLast="0" w:name="_heading=h.1s203zpf9nv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Área: </w:t>
      </w:r>
      <w:r w:rsidDel="00000000" w:rsidR="00000000" w:rsidRPr="00000000">
        <w:rPr>
          <w:sz w:val="20"/>
          <w:szCs w:val="20"/>
          <w:rtl w:val="0"/>
        </w:rPr>
        <w:t xml:space="preserve">Ciências Biológicas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Palavras-chave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Repelência, desempenho produtivo, seleção, bovinocultura de corte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Embrapa Instrumentação e Embrapa Pecuária Sudeste – São Carlos, SP - Brasil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="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next w:val="Normal"/>
    <w:qFormat w:val="1"/>
    <w:rsid w:val="006D42E4"/>
    <w:pPr>
      <w:suppressAutoHyphens w:val="1"/>
      <w:spacing w:line="276" w:lineRule="auto"/>
      <w:ind w:left="-1" w:leftChars="-1" w:hanging="1" w:hangingChars="1"/>
      <w:textDirection w:val="btLr"/>
      <w:textAlignment w:val="top"/>
    </w:pPr>
    <w:rPr>
      <w:rFonts w:ascii="Cambria" w:hAnsi="Cambria"/>
      <w:i w:val="1"/>
      <w:color w:val="365f91"/>
      <w:position w:val="-1"/>
    </w:rPr>
  </w:style>
  <w:style w:type="character" w:styleId="MenoPendente1" w:customStyle="1">
    <w:name w:val="Menção Pendente1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</w:pPr>
    <w:rPr>
      <w:rFonts w:ascii="Arial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G6MkKKsqk/BknQSIkC56FtFBCw==">CgMxLjAyDmguNDN3eHZ4bWY0Y2x5Mg5oLjlmNXZtdG15cHVsNDIOaC4xczIwM3pwZjludjg4AHIhMWhxMHBJTmpCTTcxaUxpNmd6Y2YwR1FiZEM3UUpKWjFy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2025-07-10T18:59:00Z</dcterms:created>
  <dc:creator>cristina</dc:creator>
</cp:coreProperties>
</file>