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ind w:hanging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Análise de vigor de pastagem (</w:t>
      </w:r>
      <w:r>
        <w:rPr>
          <w:rFonts w:eastAsia="Times New Roman" w:cs="Times New Roman" w:ascii="Times New Roman" w:hAnsi="Times New Roman"/>
          <w:b/>
          <w:i/>
          <w:sz w:val="28"/>
          <w:szCs w:val="28"/>
        </w:rPr>
        <w:t>U. decumbers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e </w:t>
      </w:r>
      <w:r>
        <w:rPr>
          <w:rFonts w:eastAsia="Times New Roman" w:cs="Times New Roman" w:ascii="Times New Roman" w:hAnsi="Times New Roman"/>
          <w:b/>
          <w:i/>
          <w:sz w:val="28"/>
          <w:szCs w:val="28"/>
        </w:rPr>
        <w:t>U. brizantha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) pelos índices NDVI e NDRE em diferentes sistemas de produção</w:t>
      </w:r>
    </w:p>
    <w:p>
      <w:pPr>
        <w:pStyle w:val="normal11"/>
        <w:ind w:hanging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1"/>
        <w:jc w:val="center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u w:val="single"/>
        </w:rPr>
        <w:t>João Renato Marcili Biagioni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vertAlign w:val="superscript"/>
        </w:rPr>
        <w:t>1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; Talles Eduardo Nunes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vertAlign w:val="superscript"/>
        </w:rPr>
        <w:t>1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; Luiz Guilherme Silvestrin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vertAlign w:val="superscript"/>
        </w:rPr>
        <w:t>1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 xml:space="preserve">; </w:t>
      </w:r>
    </w:p>
    <w:p>
      <w:pPr>
        <w:pStyle w:val="normal11"/>
        <w:jc w:val="center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Vinicius Goldman Loureiro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vertAlign w:val="superscript"/>
        </w:rPr>
        <w:t>1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 xml:space="preserve">; Luiza Campos Giglio²; Rolando Pasquini Neto³; </w:t>
      </w:r>
    </w:p>
    <w:p>
      <w:pPr>
        <w:pStyle w:val="normal11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José Otávio de Almeida Bueno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vertAlign w:val="superscript"/>
        </w:rPr>
        <w:t>4</w:t>
      </w:r>
      <w:r>
        <w:rPr>
          <w:rFonts w:eastAsia="Times New Roman" w:cs="Times New Roman" w:ascii="Times New Roman" w:hAnsi="Times New Roman"/>
          <w:color w:val="000000"/>
          <w:sz w:val="13"/>
          <w:szCs w:val="1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Danilo Serra da Rocha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vertAlign w:val="superscript"/>
        </w:rPr>
        <w:t>5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; José Ricardo Macedo Pezzopane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vertAlign w:val="superscript"/>
        </w:rPr>
        <w:t>6</w:t>
      </w:r>
    </w:p>
    <w:p>
      <w:pPr>
        <w:pStyle w:val="normal11"/>
        <w:shd w:val="clear" w:fill="FFFFFF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1"/>
        <w:widowControl w:val="false"/>
        <w:spacing w:lineRule="auto" w:line="230"/>
        <w:ind w:firstLine="6" w:left="10" w:right="23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vertAlign w:val="superscript"/>
        </w:rPr>
        <w:t>1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Aluno de graduação em Gestão e Análise Ambiental, Universidade Federal de São Carlos, São Carlos, SP. São Carlos, SP;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joaorenatomb32@gmail.com. </w:t>
      </w:r>
    </w:p>
    <w:p>
      <w:pPr>
        <w:pStyle w:val="normal11"/>
        <w:widowControl w:val="false"/>
        <w:spacing w:lineRule="auto" w:line="230"/>
        <w:ind w:firstLine="6" w:left="10" w:right="23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vertAlign w:val="superscript"/>
        </w:rPr>
        <w:t>2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Mestranda em Ciências Ambientais. PPGCAM, Universidade Federal de São Carlos, São Carlos, SP.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vertAlign w:val="superscript"/>
        </w:rPr>
        <w:t>3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Doutorando em Nutrição e Produção Animal, FMVZ/USP, Pirassununga, SP;</w:t>
      </w:r>
    </w:p>
    <w:p>
      <w:pPr>
        <w:pStyle w:val="normal11"/>
        <w:widowControl w:val="false"/>
        <w:spacing w:lineRule="auto" w:line="230"/>
        <w:ind w:firstLine="6" w:left="10" w:right="23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vertAlign w:val="superscript"/>
        </w:rPr>
        <w:t>4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Doutorando em Ciências da Engenharia Ambiental. PPGSEA, Universidade de São Paulo, São Carlos, SP;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vertAlign w:val="superscript"/>
        </w:rPr>
        <w:t>5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Analista da Embrapa Pecuária Sudeste, São Carlos, SP </w:t>
      </w:r>
    </w:p>
    <w:p>
      <w:pPr>
        <w:pStyle w:val="normal11"/>
        <w:widowControl w:val="false"/>
        <w:spacing w:lineRule="auto" w:line="240" w:before="5" w:after="0"/>
        <w:ind w:hanging="0" w:left="7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vertAlign w:val="superscript"/>
        </w:rPr>
        <w:t>6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Pesquisador da Embrapa Pecuária Sudeste, São Carlos, SP </w:t>
      </w:r>
    </w:p>
    <w:p>
      <w:pPr>
        <w:pStyle w:val="normal11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11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11"/>
        <w:widowControl w:val="false"/>
        <w:spacing w:lineRule="auto" w:line="230"/>
        <w:ind w:firstLine="1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color w:val="000000"/>
        </w:rPr>
        <w:t>Os índices de Vegetação por Diferença Normalizada (NDVI) e por Diferença Normalizada na Banda de Borda Vermelha (NDRE) são amplamente indicados para análises de densidade, saúde e nutrição da vegetação. Nesse sentido, o objetivo deste trabalho foi analisar as variações destes índices em um período de 4 meses (fevereiro, março, abril e junho de 2025) em sistemas de produção de bovinos, incluindo: pastagem com manejo intensivo de 200 kg de nitrogênio (N) ha</w:t>
      </w:r>
      <w:r>
        <w:rPr>
          <w:rFonts w:eastAsia="Times New Roman" w:cs="Times New Roman" w:ascii="Times New Roman" w:hAnsi="Times New Roman"/>
          <w:color w:val="000000"/>
          <w:vertAlign w:val="superscript"/>
        </w:rPr>
        <w:t>-1</w:t>
      </w:r>
      <w:r>
        <w:rPr>
          <w:rFonts w:eastAsia="Times New Roman" w:cs="Times New Roman" w:ascii="Times New Roman" w:hAnsi="Times New Roman"/>
          <w:color w:val="000000"/>
        </w:rPr>
        <w:t xml:space="preserve"> e lotação animal moderada (SML) e pastagem degradada sem adubação nitrogenada (DEG). Ambos compostos pela mistura de espécies forrageiras, </w:t>
      </w:r>
      <w:r>
        <w:rPr>
          <w:rFonts w:eastAsia="Times New Roman" w:cs="Times New Roman" w:ascii="Times New Roman" w:hAnsi="Times New Roman"/>
          <w:i/>
          <w:color w:val="000000"/>
        </w:rPr>
        <w:t xml:space="preserve">Urochloa (Brachiaria) brizantha </w:t>
      </w:r>
      <w:r>
        <w:rPr>
          <w:rFonts w:eastAsia="Times New Roman" w:cs="Times New Roman" w:ascii="Times New Roman" w:hAnsi="Times New Roman"/>
          <w:color w:val="000000"/>
        </w:rPr>
        <w:t xml:space="preserve">Stapf cv. Marandu e </w:t>
      </w:r>
      <w:r>
        <w:rPr>
          <w:rFonts w:eastAsia="Times New Roman" w:cs="Times New Roman" w:ascii="Times New Roman" w:hAnsi="Times New Roman"/>
          <w:i/>
          <w:color w:val="000000"/>
        </w:rPr>
        <w:t xml:space="preserve">U. decumbens </w:t>
      </w:r>
      <w:r>
        <w:rPr>
          <w:rFonts w:eastAsia="Times New Roman" w:cs="Times New Roman" w:ascii="Times New Roman" w:hAnsi="Times New Roman"/>
          <w:color w:val="000000"/>
        </w:rPr>
        <w:t xml:space="preserve">Stapf cv. Basilisk. Para a obtenção das imagens, foram realizados voos nas áreas dos sistemas, com uma Aeronave Remotamente Pilotada (RPA) modelo Matrice 210 (DJI) equipada com câmera multiespectral Sentera AGX710. A partir das bandas brutas, os espectros foram extraídos no </w:t>
      </w:r>
      <w:r>
        <w:rPr>
          <w:rFonts w:eastAsia="Times New Roman" w:cs="Times New Roman" w:ascii="Times New Roman" w:hAnsi="Times New Roman"/>
          <w:i/>
          <w:color w:val="000000"/>
        </w:rPr>
        <w:t>software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</w:rPr>
        <w:t>Pix4Dmapper</w:t>
      </w:r>
      <w:r>
        <w:rPr>
          <w:rFonts w:eastAsia="Times New Roman" w:cs="Times New Roman" w:ascii="Times New Roman" w:hAnsi="Times New Roman"/>
          <w:color w:val="000000"/>
        </w:rPr>
        <w:t xml:space="preserve"> e os dados processados no </w:t>
      </w:r>
      <w:r>
        <w:rPr>
          <w:rFonts w:eastAsia="Times New Roman" w:cs="Times New Roman" w:ascii="Times New Roman" w:hAnsi="Times New Roman"/>
          <w:i/>
          <w:color w:val="000000"/>
        </w:rPr>
        <w:t>software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</w:rPr>
        <w:t>QGIS</w:t>
      </w:r>
      <w:r>
        <w:rPr>
          <w:rFonts w:eastAsia="Times New Roman" w:cs="Times New Roman" w:ascii="Times New Roman" w:hAnsi="Times New Roman"/>
          <w:color w:val="000000"/>
        </w:rPr>
        <w:t xml:space="preserve"> com a ferramenta de </w:t>
      </w:r>
      <w:r>
        <w:rPr>
          <w:rFonts w:eastAsia="Times New Roman" w:cs="Times New Roman" w:ascii="Times New Roman" w:hAnsi="Times New Roman"/>
          <w:i/>
          <w:color w:val="000000"/>
        </w:rPr>
        <w:t>estatísticas zonais</w:t>
      </w:r>
      <w:r>
        <w:rPr>
          <w:rFonts w:eastAsia="Times New Roman" w:cs="Times New Roman" w:ascii="Times New Roman" w:hAnsi="Times New Roman"/>
          <w:color w:val="000000"/>
        </w:rPr>
        <w:t xml:space="preserve">. </w:t>
      </w:r>
      <w:r>
        <w:rPr>
          <w:rFonts w:eastAsia="Times New Roman" w:cs="Times New Roman" w:ascii="Times New Roman" w:hAnsi="Times New Roman"/>
        </w:rPr>
        <w:t>Com os d</w:t>
      </w:r>
      <w:r>
        <w:rPr>
          <w:rFonts w:eastAsia="Times New Roman" w:cs="Times New Roman" w:ascii="Times New Roman" w:hAnsi="Times New Roman"/>
          <w:color w:val="000000"/>
        </w:rPr>
        <w:t>ados d</w:t>
      </w:r>
      <w:r>
        <w:rPr>
          <w:rFonts w:eastAsia="Times New Roman" w:cs="Times New Roman" w:ascii="Times New Roman" w:hAnsi="Times New Roman"/>
        </w:rPr>
        <w:t>as</w:t>
      </w:r>
      <w:r>
        <w:rPr>
          <w:rFonts w:eastAsia="Times New Roman" w:cs="Times New Roman" w:ascii="Times New Roman" w:hAnsi="Times New Roman"/>
          <w:color w:val="000000"/>
        </w:rPr>
        <w:t xml:space="preserve"> 12 (SML) parcelas </w:t>
      </w:r>
      <w:r>
        <w:rPr>
          <w:rFonts w:eastAsia="Times New Roman" w:cs="Times New Roman" w:ascii="Times New Roman" w:hAnsi="Times New Roman"/>
        </w:rPr>
        <w:t>de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8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eastAsia="Times New Roman" w:cs="Times New Roman" w:ascii="Times New Roman" w:hAnsi="Times New Roman"/>
        </w:rPr>
        <w:t xml:space="preserve">m² </w:t>
      </w:r>
      <w:r>
        <w:rPr>
          <w:rFonts w:eastAsia="Times New Roman" w:cs="Times New Roman" w:ascii="Times New Roman" w:hAnsi="Times New Roman"/>
          <w:color w:val="000000"/>
        </w:rPr>
        <w:t xml:space="preserve">e das 10 (DEG) parcelas </w:t>
      </w:r>
      <w:r>
        <w:rPr>
          <w:rFonts w:eastAsia="Times New Roman" w:cs="Times New Roman" w:ascii="Times New Roman" w:hAnsi="Times New Roman"/>
        </w:rPr>
        <w:t>de 100 m²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sendo posteriormente </w:t>
      </w:r>
      <w:r>
        <w:rPr>
          <w:rFonts w:eastAsia="Times New Roman" w:cs="Times New Roman" w:ascii="Times New Roman" w:hAnsi="Times New Roman"/>
          <w:color w:val="000000"/>
        </w:rPr>
        <w:t>organizados em planilha eletrônica para análise estatística. Os sistemas, meses e a interação sistema × meses foram considerados como efeitos fixos, e as médias submetidas à análise de variância e comparação de Fisher a 5% pelo PROC MIXED do SAS. Houve efeito significativo da interação sistema × meses para ambos os índices (P</w:t>
      </w:r>
      <w:r>
        <w:rPr>
          <w:rFonts w:eastAsia="Times New Roman" w:cs="Times New Roman" w:ascii="Times New Roman" w:hAnsi="Times New Roman"/>
        </w:rPr>
        <w:t>&lt;,0001</w:t>
      </w:r>
      <w:r>
        <w:rPr>
          <w:rFonts w:eastAsia="Times New Roman" w:cs="Times New Roman" w:ascii="Times New Roman" w:hAnsi="Times New Roman"/>
          <w:color w:val="000000"/>
        </w:rPr>
        <w:t xml:space="preserve">). Em média, </w:t>
      </w:r>
      <w:r>
        <w:rPr>
          <w:rFonts w:eastAsia="Times New Roman" w:cs="Times New Roman" w:ascii="Times New Roman" w:hAnsi="Times New Roman"/>
        </w:rPr>
        <w:t>houve</w:t>
      </w:r>
      <w:r>
        <w:rPr>
          <w:rFonts w:eastAsia="Times New Roman" w:cs="Times New Roman" w:ascii="Times New Roman" w:hAnsi="Times New Roman"/>
          <w:color w:val="000000"/>
        </w:rPr>
        <w:t xml:space="preserve"> melhor desempenho do NDVI para SML (0,71) e do NDRE para DEG (0,25), enquanto os menores valores foram, respectivamente, para DEG (0,62) e SML (0,23). Considerando os meses, no SML, os valores decrescentes de NDVI e NDRE foram: 0,81 e 0,26 (abril), 0,76 e 0,25 (fevereiro), 0,64 e 0,21 (março), e 0,62 e 0,19 (junho). No DEG, os valores foram: 0,70 e 0,28 (fevereiro), 0,58 e 0,26 (abril), 0,57 e 0,24 (março e junho).</w:t>
      </w:r>
      <w:r>
        <w:rPr>
          <w:rFonts w:eastAsia="Times New Roman" w:cs="Times New Roman" w:ascii="Times New Roman" w:hAnsi="Times New Roman"/>
          <w:color w:val="FF0000"/>
        </w:rPr>
        <w:t xml:space="preserve"> </w:t>
      </w:r>
      <w:r>
        <w:rPr>
          <w:rFonts w:eastAsia="Times New Roman" w:cs="Times New Roman" w:ascii="Times New Roman" w:hAnsi="Times New Roman"/>
        </w:rPr>
        <w:t>Em março foi registrado um veranico que impactou negativamente o vigor da pastagem de ambos os sistemas. No entanto, em função da fertilização realizada e de precipitações durante o mês de abril, o SML apresentou rápida recuperação, resultando em valor de NDVI superior. Já no DEG, o manejo animal com uma baixa lotação influenciou em um pastejo heterogêneo da área, o que permitiu a permanência de plantas em diferentes estágios de desenvolvimento, alavancando os valores de NDRE quando comparados ao SML, no qual a intensificação da lotação foi preponderante para um pastejo mais uniforme por todo o período. Tendo em vista que a aplicação de N e o manejo animal favoreceram o rápido restabelecimento do vigor da pastagem no SML, pode-se concluir que este tipo de sistema é superior ao DEG nas condições avaliadas.</w:t>
      </w:r>
    </w:p>
    <w:p>
      <w:pPr>
        <w:pStyle w:val="normal11"/>
        <w:widowControl w:val="false"/>
        <w:spacing w:lineRule="auto" w:line="230"/>
        <w:ind w:hanging="0" w:left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1"/>
        <w:widowControl w:val="false"/>
        <w:spacing w:lineRule="auto" w:line="230"/>
        <w:ind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1"/>
        <w:ind w:hanging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  <w:t>Apoio financeiro: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 Embrapa</w:t>
      </w:r>
    </w:p>
    <w:p>
      <w:pPr>
        <w:pStyle w:val="normal11"/>
        <w:ind w:hanging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  <w:t xml:space="preserve">Área: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Geoprocessamento</w:t>
      </w:r>
    </w:p>
    <w:p>
      <w:pPr>
        <w:pStyle w:val="normal11"/>
        <w:ind w:hanging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  <w:t>Palavras-chave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: Índices de vegetação, </w:t>
      </w:r>
      <w:r>
        <w:rPr>
          <w:rFonts w:eastAsia="Times New Roman" w:cs="Times New Roman" w:ascii="Times New Roman" w:hAnsi="Times New Roman"/>
          <w:i/>
          <w:color w:val="000000"/>
          <w:sz w:val="20"/>
          <w:szCs w:val="20"/>
        </w:rPr>
        <w:t>Urochloa decumbens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, </w:t>
      </w:r>
      <w:r>
        <w:rPr>
          <w:rFonts w:eastAsia="Times New Roman" w:cs="Times New Roman" w:ascii="Times New Roman" w:hAnsi="Times New Roman"/>
          <w:i/>
          <w:color w:val="000000"/>
          <w:sz w:val="20"/>
          <w:szCs w:val="20"/>
        </w:rPr>
        <w:t>Urochloa brizantha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, Sensoriamento remoto, Qualidade de pastagens, Agricultura de precisão.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709" w:top="1701" w:footer="709" w:bottom="1418"/>
      <w:lnNumType w:countBy="1" w:restart="continuous" w:distance="28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 Sans">
    <w:charset w:val="00"/>
    <w:family w:val="roman"/>
    <w:pitch w:val="variable"/>
  </w:font>
  <w:font w:name="Calibri">
    <w:charset w:val="00"/>
    <w:family w:val="roman"/>
    <w:pitch w:val="variable"/>
  </w:font>
  <w:font w:name="Univers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ind w:hanging="2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ind w:hanging="2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tabs>
        <w:tab w:val="clear" w:pos="720"/>
        <w:tab w:val="center" w:pos="4252" w:leader="none"/>
        <w:tab w:val="right" w:pos="8504" w:leader="none"/>
      </w:tabs>
      <w:ind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Resumos da 17ª Jornada Científica – Embrapa São Carlos – 22 de agosto de 2025</w:t>
    </w:r>
  </w:p>
  <w:p>
    <w:pPr>
      <w:pStyle w:val="normal11"/>
      <w:pBdr>
        <w:bottom w:val="single" w:sz="4" w:space="1" w:color="000000"/>
      </w:pBdr>
      <w:tabs>
        <w:tab w:val="clear" w:pos="720"/>
        <w:tab w:val="center" w:pos="4252" w:leader="none"/>
        <w:tab w:val="right" w:pos="8504" w:leader="none"/>
      </w:tabs>
      <w:ind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tabs>
        <w:tab w:val="clear" w:pos="720"/>
        <w:tab w:val="center" w:pos="4252" w:leader="none"/>
        <w:tab w:val="right" w:pos="8504" w:leader="none"/>
      </w:tabs>
      <w:ind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Resumos da 17ª Jornada Científica – Embrapa São Carlos – 22 de agosto de 2025</w:t>
    </w:r>
  </w:p>
  <w:p>
    <w:pPr>
      <w:pStyle w:val="normal11"/>
      <w:pBdr>
        <w:bottom w:val="single" w:sz="4" w:space="1" w:color="000000"/>
      </w:pBdr>
      <w:tabs>
        <w:tab w:val="clear" w:pos="720"/>
        <w:tab w:val="center" w:pos="4252" w:leader="none"/>
        <w:tab w:val="right" w:pos="8504" w:leader="none"/>
      </w:tabs>
      <w:ind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Embrapa Instrumentação e Embrapa Pecuária Sudeste – São Carlos, SP - Brasil</w:t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Open Sans" w:hAnsi="Open Sans" w:eastAsia="Open Sans" w:cs="Open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ind w:hanging="1"/>
      <w:jc w:val="left"/>
    </w:pPr>
    <w:rPr>
      <w:rFonts w:ascii="Open Sans" w:hAnsi="Open Sans" w:eastAsia="Open Sans" w:cs="Open Sans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80" w:after="0"/>
    </w:pPr>
    <w:rPr>
      <w:rFonts w:ascii="Calibri" w:hAnsi="Calibri" w:eastAsia="Calibri" w:cs="Calibri"/>
      <w:b/>
      <w:color w:val="366091"/>
      <w:sz w:val="28"/>
      <w:szCs w:val="28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qFormat/>
    <w:rsid w:val="00d6751d"/>
    <w:rPr>
      <w:color w:val="000000"/>
      <w:sz w:val="20"/>
      <w:szCs w:val="20"/>
      <w:vertAlign w:val="subscript"/>
    </w:rPr>
  </w:style>
  <w:style w:type="character" w:styleId="CabealhoChar" w:customStyle="1">
    <w:name w:val="Cabeçalho Char"/>
    <w:basedOn w:val="DefaultParagraphFont"/>
    <w:qFormat/>
    <w:rsid w:val="00d6751d"/>
    <w:rPr>
      <w:rFonts w:ascii="Univers" w:hAnsi="Univers"/>
      <w:vertAlign w:val="subscript"/>
    </w:rPr>
  </w:style>
  <w:style w:type="character" w:styleId="RodapChar" w:customStyle="1">
    <w:name w:val="Rodapé Char"/>
    <w:basedOn w:val="DefaultParagraphFont"/>
    <w:qFormat/>
    <w:rsid w:val="00d6751d"/>
    <w:rPr>
      <w:color w:val="000000"/>
      <w:vertAlign w:val="subscript"/>
    </w:rPr>
  </w:style>
  <w:style w:type="character" w:styleId="CommentReference">
    <w:name w:val="annotation reference"/>
    <w:qFormat/>
    <w:rsid w:val="00d6751d"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ollowedHyperlink">
    <w:name w:val="FollowedHyperlink"/>
    <w:rsid w:val="00d6751d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"/>
    <w:link w:val="annotationsubject"/>
    <w:qFormat/>
    <w:rsid w:val="00d6751d"/>
    <w:rPr>
      <w:b/>
      <w:bCs/>
      <w:color w:val="000000"/>
      <w:sz w:val="20"/>
      <w:szCs w:val="20"/>
      <w:vertAlign w:val="subscript"/>
    </w:rPr>
  </w:style>
  <w:style w:type="character" w:styleId="TextodebaloChar" w:customStyle="1">
    <w:name w:val="Texto de balão Char"/>
    <w:basedOn w:val="DefaultParagraphFont"/>
    <w:link w:val="BalloonText"/>
    <w:qFormat/>
    <w:rsid w:val="00d6751d"/>
    <w:rPr>
      <w:rFonts w:ascii="Tahoma" w:hAnsi="Tahoma" w:cs="Tahoma"/>
      <w:sz w:val="16"/>
      <w:szCs w:val="16"/>
      <w:vertAlign w:val="subscript"/>
    </w:rPr>
  </w:style>
  <w:style w:type="character" w:styleId="Ttulo1Char" w:customStyle="1">
    <w:name w:val="Título 1 Char"/>
    <w:basedOn w:val="DefaultParagraphFont"/>
    <w:uiPriority w:val="9"/>
    <w:qFormat/>
    <w:rsid w:val="00d6751d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MenoPendente1" w:customStyle="1">
    <w:name w:val="Menção Pendente1"/>
    <w:qFormat/>
    <w:rsid w:val="006d42e4"/>
    <w:rPr>
      <w:color w:val="605E5C"/>
      <w:w w:val="100"/>
      <w:position w:val="0"/>
      <w:sz w:val="24"/>
      <w:sz w:val="24"/>
      <w:effect w:val="none"/>
      <w:shd w:fill="E1DFDD" w:val="clear"/>
      <w:vertAlign w:val="baseline"/>
      <w:em w:val="none"/>
    </w:rPr>
  </w:style>
  <w:style w:type="character" w:styleId="TextodenotaderodapChar" w:customStyle="1">
    <w:name w:val="Texto de nota de rodapé Char"/>
    <w:basedOn w:val="DefaultParagraphFont"/>
    <w:qFormat/>
    <w:rsid w:val="006d42e4"/>
    <w:rPr>
      <w:rFonts w:ascii="Univers" w:hAnsi="Univers"/>
      <w:sz w:val="20"/>
      <w:vertAlign w:val="subscript"/>
    </w:rPr>
  </w:style>
  <w:style w:type="character" w:styleId="TextodecomentrioChar1" w:customStyle="1">
    <w:name w:val="Texto de comentário Char1"/>
    <w:basedOn w:val="DefaultParagraphFont"/>
    <w:qFormat/>
    <w:rsid w:val="006d42e4"/>
    <w:rPr>
      <w:rFonts w:ascii="Univers" w:hAnsi="Univers"/>
      <w:sz w:val="20"/>
      <w:vertAlign w:val="subscript"/>
    </w:rPr>
  </w:style>
  <w:style w:type="character" w:styleId="Caracteresdenotaderodapuser">
    <w:name w:val="Caracteres de nota de rodapé (user)"/>
    <w:qFormat/>
    <w:rsid w:val="006d42e4"/>
    <w:rPr>
      <w:w w:val="100"/>
      <w:effect w:val="none"/>
      <w:vertAlign w:val="superscript"/>
      <w:em w:val="none"/>
    </w:rPr>
  </w:style>
  <w:style w:type="character" w:styleId="Caracteresdenotaderodap">
    <w:name w:val="Caracteres de nota de rodapé"/>
    <w:qFormat/>
    <w:rPr>
      <w:w w:val="100"/>
      <w:effect w:val="none"/>
      <w:vertAlign w:val="superscript"/>
      <w:em w:val="none"/>
    </w:rPr>
  </w:style>
  <w:style w:type="character" w:styleId="FootnoteReference">
    <w:name w:val="footnote reference"/>
    <w:rPr>
      <w:w w:val="100"/>
      <w:effect w:val="none"/>
      <w:vertAlign w:val="superscript"/>
      <w:em w:val="none"/>
    </w:rPr>
  </w:style>
  <w:style w:type="character" w:styleId="Recuodecorpodetexto3Char" w:customStyle="1">
    <w:name w:val="Recuo de corpo de texto 3 Char"/>
    <w:basedOn w:val="DefaultParagraphFont"/>
    <w:link w:val="BodyTextIndent3"/>
    <w:qFormat/>
    <w:rsid w:val="006d42e4"/>
    <w:rPr>
      <w:rFonts w:ascii="Univers" w:hAnsi="Univers"/>
      <w:sz w:val="16"/>
      <w:szCs w:val="16"/>
      <w:vertAlign w:val="subscript"/>
    </w:rPr>
  </w:style>
  <w:style w:type="character" w:styleId="CorpodetextoChar" w:customStyle="1">
    <w:name w:val="Corpo de texto Char"/>
    <w:basedOn w:val="DefaultParagraphFont"/>
    <w:semiHidden/>
    <w:qFormat/>
    <w:rsid w:val="00f61e4e"/>
    <w:rPr>
      <w:rFonts w:ascii="Arial" w:hAnsi="Arial" w:eastAsia="Times New Roman" w:cs="Times New Roman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053ee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1"/>
    <w:link w:val="CorpodetextoChar"/>
    <w:semiHidden/>
    <w:rsid w:val="00f61e4e"/>
    <w:pPr>
      <w:spacing w:lineRule="auto" w:line="360"/>
      <w:ind w:hanging="0"/>
      <w:jc w:val="both"/>
    </w:pPr>
    <w:rPr>
      <w:rFonts w:ascii="Arial" w:hAnsi="Arial" w:eastAsia="Times New Roman" w:cs="Times New Roman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11"/>
    <w:next w:val="normal11"/>
    <w:qFormat/>
    <w:rsid w:val="00d6751d"/>
    <w:pPr>
      <w:suppressAutoHyphens w:val="true"/>
      <w:ind w:left="-1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ind w:hanging="1"/>
      <w:jc w:val="left"/>
    </w:pPr>
    <w:rPr>
      <w:rFonts w:ascii="Open Sans" w:hAnsi="Open Sans" w:eastAsia="Open Sans" w:cs="Open Sans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Ttulouser">
    <w:name w:val="Título (user)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1"/>
    <w:qFormat/>
    <w:pPr>
      <w:suppressLineNumbers/>
    </w:pPr>
    <w:rPr>
      <w:rFonts w:cs="Lucida Sans"/>
    </w:rPr>
  </w:style>
  <w:style w:type="paragraph" w:styleId="normal11" w:default="1">
    <w:name w:val="normal11"/>
    <w:qFormat/>
    <w:pPr>
      <w:widowControl/>
      <w:bidi w:val="0"/>
      <w:spacing w:before="0" w:after="0"/>
      <w:ind w:hanging="1"/>
      <w:jc w:val="left"/>
    </w:pPr>
    <w:rPr>
      <w:rFonts w:ascii="Open Sans" w:hAnsi="Open Sans" w:eastAsia="Open Sans" w:cs="Open Sans"/>
      <w:color w:val="auto"/>
      <w:kern w:val="0"/>
      <w:sz w:val="24"/>
      <w:szCs w:val="24"/>
      <w:lang w:val="en-US" w:eastAsia="zh-CN" w:bidi="hi-IN"/>
    </w:rPr>
  </w:style>
  <w:style w:type="paragraph" w:styleId="TOC1">
    <w:name w:val="toc 1"/>
    <w:basedOn w:val="normal11"/>
    <w:next w:val="normal11"/>
    <w:qFormat/>
    <w:rsid w:val="006d42e4"/>
    <w:pPr>
      <w:suppressAutoHyphens w:val="true"/>
      <w:spacing w:lineRule="atLeast" w:line="1"/>
      <w:ind w:left="-1"/>
      <w:textAlignment w:val="top"/>
      <w:outlineLvl w:val="0"/>
    </w:pPr>
    <w:rPr>
      <w:rFonts w:ascii="Univers" w:hAnsi="Univers"/>
      <w:position w:val="-1"/>
    </w:rPr>
  </w:style>
  <w:style w:type="paragraph" w:styleId="TOC2">
    <w:name w:val="toc 2"/>
    <w:basedOn w:val="normal11"/>
    <w:next w:val="normal11"/>
    <w:qFormat/>
    <w:rsid w:val="006d42e4"/>
    <w:pPr>
      <w:suppressAutoHyphens w:val="true"/>
      <w:spacing w:lineRule="atLeast" w:line="1"/>
      <w:ind w:left="240"/>
      <w:textAlignment w:val="top"/>
      <w:outlineLvl w:val="0"/>
    </w:pPr>
    <w:rPr>
      <w:rFonts w:ascii="Univers" w:hAnsi="Univers"/>
      <w:position w:val="-1"/>
    </w:rPr>
  </w:style>
  <w:style w:type="paragraph" w:styleId="TOC3">
    <w:name w:val="toc 3"/>
    <w:basedOn w:val="normal11"/>
    <w:next w:val="normal11"/>
    <w:qFormat/>
    <w:rsid w:val="006d42e4"/>
    <w:pPr>
      <w:suppressAutoHyphens w:val="true"/>
      <w:spacing w:lineRule="atLeast" w:line="1"/>
      <w:ind w:left="480"/>
      <w:textAlignment w:val="top"/>
      <w:outlineLvl w:val="0"/>
    </w:pPr>
    <w:rPr>
      <w:rFonts w:ascii="Univers" w:hAnsi="Univers"/>
      <w:position w:val="-1"/>
    </w:rPr>
  </w:style>
  <w:style w:type="paragraph" w:styleId="CommentText">
    <w:name w:val="annotation text"/>
    <w:basedOn w:val="normal11"/>
    <w:link w:val="TextodecomentrioChar1"/>
    <w:qFormat/>
    <w:rsid w:val="006d42e4"/>
    <w:pPr>
      <w:suppressAutoHyphens w:val="true"/>
      <w:spacing w:lineRule="atLeast" w:line="1"/>
      <w:ind w:left="-1"/>
      <w:textAlignment w:val="top"/>
      <w:outlineLvl w:val="0"/>
    </w:pPr>
    <w:rPr>
      <w:rFonts w:ascii="Univers" w:hAnsi="Univers"/>
      <w:position w:val="-1"/>
      <w:sz w:val="20"/>
    </w:rPr>
  </w:style>
  <w:style w:type="paragraph" w:styleId="Cabealhoerodapuser">
    <w:name w:val="Cabeçalho e rodapé (user)"/>
    <w:basedOn w:val="normal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1"/>
    <w:link w:val="CabealhoChar"/>
    <w:qFormat/>
    <w:rsid w:val="006d42e4"/>
    <w:pPr>
      <w:suppressLineNumbers/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ind w:left="-1"/>
      <w:textAlignment w:val="top"/>
      <w:outlineLvl w:val="0"/>
    </w:pPr>
    <w:rPr>
      <w:rFonts w:ascii="Univers" w:hAnsi="Univers"/>
      <w:position w:val="-1"/>
    </w:rPr>
  </w:style>
  <w:style w:type="paragraph" w:styleId="Footer">
    <w:name w:val="footer"/>
    <w:basedOn w:val="normal11"/>
    <w:link w:val="RodapChar"/>
    <w:rsid w:val="00d6751d"/>
    <w:pPr>
      <w:suppressLineNumbers/>
      <w:suppressAutoHyphens w:val="true"/>
      <w:ind w:left="-1"/>
      <w:textAlignment w:val="top"/>
      <w:outlineLvl w:val="0"/>
    </w:pPr>
    <w:rPr>
      <w:color w:val="000000"/>
      <w:position w:val="-1"/>
    </w:rPr>
  </w:style>
  <w:style w:type="paragraph" w:styleId="TableofFigures">
    <w:name w:val="table of figures"/>
    <w:basedOn w:val="normal11"/>
    <w:next w:val="normal11"/>
    <w:rsid w:val="00d6751d"/>
    <w:pPr>
      <w:suppressAutoHyphens w:val="true"/>
      <w:ind w:left="-1"/>
      <w:textAlignment w:val="top"/>
      <w:outlineLvl w:val="0"/>
    </w:pPr>
    <w:rPr>
      <w:color w:val="000000"/>
      <w:position w:val="-1"/>
    </w:rPr>
  </w:style>
  <w:style w:type="paragraph" w:styleId="NormalWeb">
    <w:name w:val="Normal (Web)"/>
    <w:basedOn w:val="normal11"/>
    <w:uiPriority w:val="99"/>
    <w:qFormat/>
    <w:rsid w:val="00d6751d"/>
    <w:pPr>
      <w:suppressAutoHyphens w:val="true"/>
      <w:spacing w:beforeAutospacing="1" w:afterAutospacing="1"/>
      <w:ind w:left="-1"/>
      <w:textAlignment w:val="top"/>
      <w:outlineLvl w:val="0"/>
    </w:pPr>
    <w:rPr>
      <w:rFonts w:ascii="Times New Roman" w:hAnsi="Times New Roman" w:eastAsia="Times New Roman" w:cs="Times New Roman"/>
      <w:position w:val="-1"/>
    </w:rPr>
  </w:style>
  <w:style w:type="paragraph" w:styleId="annotationsubject">
    <w:name w:val="annotation subject"/>
    <w:basedOn w:val="CommentText"/>
    <w:next w:val="CommentText"/>
    <w:link w:val="AssuntodocomentrioChar"/>
    <w:qFormat/>
    <w:rsid w:val="00d6751d"/>
    <w:pPr>
      <w:spacing w:lineRule="auto" w:line="360"/>
    </w:pPr>
    <w:rPr>
      <w:b/>
      <w:bCs/>
    </w:rPr>
  </w:style>
  <w:style w:type="paragraph" w:styleId="BalloonText">
    <w:name w:val="Balloon Text"/>
    <w:basedOn w:val="normal11"/>
    <w:link w:val="TextodebaloChar"/>
    <w:qFormat/>
    <w:rsid w:val="006d42e4"/>
    <w:pPr>
      <w:suppressAutoHyphens w:val="true"/>
      <w:spacing w:lineRule="atLeast" w:line="1"/>
      <w:ind w:left="-1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paragraph" w:styleId="ListParagraph">
    <w:name w:val="List Paragraph"/>
    <w:basedOn w:val="normal11"/>
    <w:uiPriority w:val="34"/>
    <w:qFormat/>
    <w:rsid w:val="006d42e4"/>
    <w:pPr>
      <w:suppressAutoHyphens w:val="true"/>
      <w:spacing w:lineRule="atLeast" w:line="1" w:before="0" w:after="0"/>
      <w:ind w:left="720"/>
      <w:contextualSpacing/>
      <w:textAlignment w:val="top"/>
      <w:outlineLvl w:val="0"/>
    </w:pPr>
    <w:rPr>
      <w:rFonts w:ascii="Univers" w:hAnsi="Univers"/>
      <w:position w:val="-1"/>
    </w:rPr>
  </w:style>
  <w:style w:type="paragraph" w:styleId="IndexHeading">
    <w:name w:val="index heading"/>
    <w:basedOn w:val="Ttulouser"/>
    <w:pPr/>
    <w:rPr/>
  </w:style>
  <w:style w:type="paragraph" w:styleId="TOCHeading">
    <w:name w:val="TOC Heading"/>
    <w:next w:val="normal11"/>
    <w:qFormat/>
    <w:rsid w:val="006d42e4"/>
    <w:pPr>
      <w:widowControl/>
      <w:suppressAutoHyphens w:val="true"/>
      <w:bidi w:val="0"/>
      <w:spacing w:lineRule="auto" w:line="276" w:before="0" w:after="0"/>
      <w:ind w:hanging="1" w:left="-1"/>
      <w:jc w:val="left"/>
      <w:textAlignment w:val="top"/>
    </w:pPr>
    <w:rPr>
      <w:rFonts w:ascii="Cambria" w:hAnsi="Cambria" w:eastAsia="Times New Roman" w:cs="Times New Roman"/>
      <w:i/>
      <w:color w:val="365F91"/>
      <w:kern w:val="0"/>
      <w:position w:val="-1"/>
      <w:sz w:val="24"/>
      <w:szCs w:val="24"/>
      <w:lang w:val="en-US" w:eastAsia="zh-CN" w:bidi="hi-IN"/>
    </w:rPr>
  </w:style>
  <w:style w:type="paragraph" w:styleId="FootnoteText">
    <w:name w:val="footnote text"/>
    <w:basedOn w:val="normal11"/>
    <w:link w:val="TextodenotaderodapChar"/>
    <w:qFormat/>
    <w:rsid w:val="006d42e4"/>
    <w:pPr>
      <w:suppressAutoHyphens w:val="true"/>
      <w:spacing w:lineRule="atLeast" w:line="1"/>
      <w:ind w:left="-1"/>
      <w:textAlignment w:val="top"/>
      <w:outlineLvl w:val="0"/>
    </w:pPr>
    <w:rPr>
      <w:rFonts w:ascii="Univers" w:hAnsi="Univers"/>
      <w:position w:val="-1"/>
      <w:sz w:val="20"/>
    </w:rPr>
  </w:style>
  <w:style w:type="paragraph" w:styleId="BodyTextIndent3">
    <w:name w:val="Body Text Indent 3"/>
    <w:basedOn w:val="normal11"/>
    <w:link w:val="Recuodecorpodetexto3Char"/>
    <w:qFormat/>
    <w:rsid w:val="006d42e4"/>
    <w:pPr>
      <w:suppressAutoHyphens w:val="true"/>
      <w:spacing w:lineRule="atLeast" w:line="1" w:before="0" w:after="120"/>
      <w:ind w:left="283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paragraph" w:styleId="Revision">
    <w:name w:val="Revision"/>
    <w:uiPriority w:val="99"/>
    <w:semiHidden/>
    <w:qFormat/>
    <w:rsid w:val="006778f7"/>
    <w:pPr>
      <w:widowControl/>
      <w:bidi w:val="0"/>
      <w:spacing w:before="0" w:after="0"/>
      <w:ind w:hanging="0"/>
      <w:jc w:val="left"/>
    </w:pPr>
    <w:rPr>
      <w:rFonts w:ascii="Open Sans" w:hAnsi="Open Sans" w:eastAsia="Open Sans" w:cs="Open Sans"/>
      <w:color w:val="auto"/>
      <w:kern w:val="0"/>
      <w:sz w:val="24"/>
      <w:szCs w:val="24"/>
      <w:lang w:val="en-US" w:eastAsia="zh-CN" w:bidi="hi-IN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N0zV2wJc/y4KeHenzcWONZElKvw==">CgMxLjA4AHIhMUg4MTFkSGpLdXk3bE0ydURGUnV5bExvNEdTS21CUXlX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LibreOffice/25.2.4.3$Windows_X86_64 LibreOffice_project/33e196637044ead23f5c3226cde09b47731f7e27</Application>
  <AppVersion>15.0000</AppVersion>
  <Pages>1</Pages>
  <Words>639</Words>
  <Characters>3479</Characters>
  <CharactersWithSpaces>4107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2025-07-08T17:42:00Z</dcterms:created>
  <dc:creator>cristina</dc:creator>
  <dc:description/>
  <dc:language>pt-BR</dc:language>
  <cp:lastModifiedBy/>
  <cp:lastPrinted>2025-07-11T12:31:01Z</cp:lastPrinted>
  <dcterms:modified xsi:type="dcterms:W3CDTF">2025-07-11T12:23:38Z</dcterms:modified>
  <cp:revision>2</cp:revision>
  <dc:subject/>
  <dc:title/>
</cp:coreProperties>
</file>