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27592" w14:textId="5E470566" w:rsidR="002C0BD5" w:rsidRPr="0044157E" w:rsidRDefault="000645A6" w:rsidP="00F61E4E">
      <w:pPr>
        <w:ind w:firstLine="0"/>
        <w:jc w:val="center"/>
        <w:rPr>
          <w:rFonts w:ascii="Arial" w:hAnsi="Arial" w:cs="Arial"/>
          <w:b/>
          <w:snapToGrid w:val="0"/>
        </w:rPr>
      </w:pPr>
      <w:r w:rsidRPr="0044157E">
        <w:rPr>
          <w:rFonts w:ascii="Arial" w:hAnsi="Arial" w:cs="Arial"/>
          <w:b/>
          <w:snapToGrid w:val="0"/>
        </w:rPr>
        <w:t xml:space="preserve">Encapsulamento do </w:t>
      </w:r>
      <w:r w:rsidRPr="0044157E">
        <w:rPr>
          <w:rFonts w:ascii="Arial" w:hAnsi="Arial" w:cs="Arial"/>
          <w:b/>
          <w:i/>
          <w:iCs/>
          <w:snapToGrid w:val="0"/>
        </w:rPr>
        <w:t>Trichoderma harzianum</w:t>
      </w:r>
      <w:r w:rsidRPr="0044157E">
        <w:rPr>
          <w:rFonts w:ascii="Arial" w:hAnsi="Arial" w:cs="Arial"/>
          <w:b/>
          <w:snapToGrid w:val="0"/>
        </w:rPr>
        <w:t xml:space="preserve"> em </w:t>
      </w:r>
      <w:proofErr w:type="spellStart"/>
      <w:r w:rsidRPr="0044157E">
        <w:rPr>
          <w:rFonts w:ascii="Arial" w:hAnsi="Arial" w:cs="Arial"/>
          <w:b/>
          <w:snapToGrid w:val="0"/>
        </w:rPr>
        <w:t>nanocompósitos</w:t>
      </w:r>
      <w:proofErr w:type="spellEnd"/>
      <w:r w:rsidRPr="0044157E">
        <w:rPr>
          <w:rFonts w:ascii="Arial" w:hAnsi="Arial" w:cs="Arial"/>
          <w:b/>
          <w:snapToGrid w:val="0"/>
        </w:rPr>
        <w:t xml:space="preserve"> a base de matrizes lignocelulósicas via Spray Drying</w:t>
      </w:r>
    </w:p>
    <w:p w14:paraId="76552CBD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3CA25289" w14:textId="09A31878" w:rsidR="00F61E4E" w:rsidRPr="0044157E" w:rsidRDefault="000645A6" w:rsidP="00F61E4E">
      <w:pPr>
        <w:jc w:val="center"/>
        <w:rPr>
          <w:rFonts w:ascii="Arial" w:hAnsi="Arial" w:cs="Arial"/>
          <w:snapToGrid w:val="0"/>
          <w:sz w:val="20"/>
          <w:szCs w:val="20"/>
          <w:vertAlign w:val="superscript"/>
        </w:rPr>
      </w:pPr>
      <w:r w:rsidRPr="0044157E">
        <w:rPr>
          <w:rFonts w:ascii="Arial" w:hAnsi="Arial" w:cs="Arial"/>
          <w:snapToGrid w:val="0"/>
          <w:sz w:val="20"/>
          <w:szCs w:val="20"/>
          <w:u w:val="single"/>
        </w:rPr>
        <w:t>Gabriel Henrique Souza de Melo</w:t>
      </w:r>
      <w:r w:rsidRPr="0044157E">
        <w:rPr>
          <w:rFonts w:ascii="Arial" w:hAnsi="Arial" w:cs="Arial"/>
          <w:snapToGrid w:val="0"/>
          <w:sz w:val="20"/>
          <w:szCs w:val="20"/>
          <w:u w:val="single"/>
          <w:vertAlign w:val="superscript"/>
        </w:rPr>
        <w:t>1</w:t>
      </w:r>
      <w:r w:rsidR="00F61E4E" w:rsidRPr="0044157E">
        <w:rPr>
          <w:rFonts w:ascii="Arial" w:hAnsi="Arial" w:cs="Arial"/>
          <w:snapToGrid w:val="0"/>
          <w:sz w:val="20"/>
          <w:szCs w:val="20"/>
        </w:rPr>
        <w:t xml:space="preserve">; </w:t>
      </w:r>
      <w:r w:rsidRPr="0044157E">
        <w:rPr>
          <w:rFonts w:ascii="Arial" w:hAnsi="Arial" w:cs="Arial"/>
          <w:snapToGrid w:val="0"/>
          <w:sz w:val="20"/>
          <w:szCs w:val="20"/>
        </w:rPr>
        <w:t xml:space="preserve">Mariana </w:t>
      </w:r>
      <w:proofErr w:type="spellStart"/>
      <w:r w:rsidRPr="0044157E">
        <w:rPr>
          <w:rFonts w:ascii="Arial" w:hAnsi="Arial" w:cs="Arial"/>
          <w:snapToGrid w:val="0"/>
          <w:sz w:val="20"/>
          <w:szCs w:val="20"/>
        </w:rPr>
        <w:t>Govoni</w:t>
      </w:r>
      <w:proofErr w:type="spellEnd"/>
      <w:r w:rsidRPr="0044157E">
        <w:rPr>
          <w:rFonts w:ascii="Arial" w:hAnsi="Arial" w:cs="Arial"/>
          <w:snapToGrid w:val="0"/>
          <w:sz w:val="20"/>
          <w:szCs w:val="20"/>
        </w:rPr>
        <w:t xml:space="preserve"> Brondi Wolf</w:t>
      </w:r>
      <w:r w:rsidR="00F61E4E" w:rsidRPr="0044157E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F61E4E" w:rsidRPr="0044157E">
        <w:rPr>
          <w:rFonts w:ascii="Arial" w:hAnsi="Arial" w:cs="Arial"/>
          <w:snapToGrid w:val="0"/>
          <w:sz w:val="20"/>
          <w:szCs w:val="20"/>
        </w:rPr>
        <w:t xml:space="preserve">; </w:t>
      </w:r>
      <w:r w:rsidRPr="0044157E">
        <w:rPr>
          <w:rFonts w:ascii="Arial" w:hAnsi="Arial" w:cs="Arial"/>
          <w:snapToGrid w:val="0"/>
          <w:sz w:val="20"/>
          <w:szCs w:val="20"/>
        </w:rPr>
        <w:t>Ricardo Bortoletto Santos</w:t>
      </w:r>
      <w:r w:rsidR="00F61E4E" w:rsidRPr="0044157E">
        <w:rPr>
          <w:rFonts w:ascii="Arial" w:hAnsi="Arial" w:cs="Arial"/>
          <w:snapToGrid w:val="0"/>
          <w:sz w:val="20"/>
          <w:szCs w:val="20"/>
          <w:vertAlign w:val="superscript"/>
        </w:rPr>
        <w:t>3</w:t>
      </w:r>
      <w:r w:rsidR="00F61E4E" w:rsidRPr="0044157E">
        <w:rPr>
          <w:rFonts w:ascii="Arial" w:hAnsi="Arial" w:cs="Arial"/>
          <w:snapToGrid w:val="0"/>
          <w:sz w:val="20"/>
          <w:szCs w:val="20"/>
        </w:rPr>
        <w:t xml:space="preserve">; </w:t>
      </w:r>
      <w:r w:rsidRPr="0044157E">
        <w:rPr>
          <w:rFonts w:ascii="Arial" w:hAnsi="Arial" w:cs="Arial"/>
          <w:snapToGrid w:val="0"/>
          <w:sz w:val="20"/>
          <w:szCs w:val="20"/>
        </w:rPr>
        <w:t>Cauê Ribeiro de Oliveira</w:t>
      </w:r>
      <w:r w:rsidR="00084D27" w:rsidRPr="0044157E">
        <w:rPr>
          <w:rFonts w:ascii="Arial" w:hAnsi="Arial" w:cs="Arial"/>
          <w:snapToGrid w:val="0"/>
          <w:sz w:val="20"/>
          <w:szCs w:val="20"/>
          <w:vertAlign w:val="superscript"/>
        </w:rPr>
        <w:t>4</w:t>
      </w:r>
      <w:r w:rsidR="00F61E4E" w:rsidRPr="0044157E">
        <w:rPr>
          <w:rFonts w:ascii="Arial" w:hAnsi="Arial" w:cs="Arial"/>
          <w:snapToGrid w:val="0"/>
          <w:sz w:val="20"/>
          <w:szCs w:val="20"/>
        </w:rPr>
        <w:t xml:space="preserve">; </w:t>
      </w:r>
      <w:r w:rsidRPr="0044157E">
        <w:rPr>
          <w:rFonts w:ascii="Arial" w:hAnsi="Arial" w:cs="Arial"/>
          <w:snapToGrid w:val="0"/>
          <w:sz w:val="20"/>
          <w:szCs w:val="20"/>
        </w:rPr>
        <w:t>Cristiane Sanchez Farinas</w:t>
      </w:r>
      <w:r w:rsidRPr="0044157E">
        <w:rPr>
          <w:rFonts w:ascii="Arial" w:hAnsi="Arial" w:cs="Arial"/>
          <w:snapToGrid w:val="0"/>
          <w:sz w:val="20"/>
          <w:szCs w:val="20"/>
          <w:vertAlign w:val="superscript"/>
        </w:rPr>
        <w:t>5</w:t>
      </w:r>
    </w:p>
    <w:p w14:paraId="3A451F9F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8DAE60A" w14:textId="170CEC0C" w:rsidR="00F61E4E" w:rsidRPr="0044157E" w:rsidRDefault="00F61E4E" w:rsidP="0044157E">
      <w:pPr>
        <w:jc w:val="center"/>
        <w:rPr>
          <w:rFonts w:ascii="Arial" w:hAnsi="Arial" w:cs="Arial"/>
          <w:snapToGrid w:val="0"/>
          <w:sz w:val="14"/>
          <w:szCs w:val="14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44157E">
        <w:rPr>
          <w:rFonts w:ascii="Arial" w:hAnsi="Arial" w:cs="Arial"/>
          <w:snapToGrid w:val="0"/>
          <w:sz w:val="14"/>
          <w:szCs w:val="14"/>
        </w:rPr>
        <w:t xml:space="preserve">Aluno de graduação em </w:t>
      </w:r>
      <w:r w:rsidR="000645A6" w:rsidRPr="0044157E">
        <w:rPr>
          <w:rFonts w:ascii="Arial" w:hAnsi="Arial" w:cs="Arial"/>
          <w:snapToGrid w:val="0"/>
          <w:sz w:val="14"/>
          <w:szCs w:val="14"/>
        </w:rPr>
        <w:t>Química Tecnológica</w:t>
      </w:r>
      <w:r w:rsidRPr="0044157E">
        <w:rPr>
          <w:rFonts w:ascii="Arial" w:hAnsi="Arial" w:cs="Arial"/>
          <w:snapToGrid w:val="0"/>
          <w:sz w:val="14"/>
          <w:szCs w:val="14"/>
        </w:rPr>
        <w:t xml:space="preserve">, Universidade Federal de São Carlos, São Carlos, SP. Bolsista PIBIC/CNPq, Embrapa Instrumentação, São Carlos, SP; </w:t>
      </w:r>
      <w:r w:rsidR="000645A6" w:rsidRPr="0044157E">
        <w:rPr>
          <w:rFonts w:ascii="Arial" w:hAnsi="Arial" w:cs="Arial"/>
          <w:snapToGrid w:val="0"/>
          <w:sz w:val="14"/>
          <w:szCs w:val="14"/>
        </w:rPr>
        <w:t>gabriel_hsm@outlook.com</w:t>
      </w:r>
      <w:r w:rsidRPr="0044157E">
        <w:rPr>
          <w:rFonts w:ascii="Arial" w:hAnsi="Arial" w:cs="Arial"/>
          <w:snapToGrid w:val="0"/>
          <w:sz w:val="14"/>
          <w:szCs w:val="14"/>
        </w:rPr>
        <w:t>.</w:t>
      </w:r>
    </w:p>
    <w:p w14:paraId="50B7C7DA" w14:textId="0A919CFB" w:rsidR="00F61E4E" w:rsidRPr="0044157E" w:rsidRDefault="00F61E4E" w:rsidP="0044157E">
      <w:pPr>
        <w:jc w:val="center"/>
        <w:rPr>
          <w:rFonts w:ascii="Arial" w:hAnsi="Arial" w:cs="Arial"/>
          <w:snapToGrid w:val="0"/>
          <w:sz w:val="14"/>
          <w:szCs w:val="14"/>
        </w:rPr>
      </w:pPr>
      <w:r w:rsidRPr="0044157E">
        <w:rPr>
          <w:rFonts w:ascii="Arial" w:hAnsi="Arial" w:cs="Arial"/>
          <w:snapToGrid w:val="0"/>
          <w:sz w:val="14"/>
          <w:szCs w:val="14"/>
          <w:vertAlign w:val="superscript"/>
        </w:rPr>
        <w:t>2</w:t>
      </w:r>
      <w:r w:rsidR="00767CE2">
        <w:rPr>
          <w:rFonts w:ascii="Arial" w:hAnsi="Arial" w:cs="Arial"/>
          <w:snapToGrid w:val="0"/>
          <w:sz w:val="14"/>
          <w:szCs w:val="14"/>
        </w:rPr>
        <w:t xml:space="preserve">Pós-doutoranda na Embrapa </w:t>
      </w:r>
      <w:proofErr w:type="spellStart"/>
      <w:r w:rsidR="00767CE2">
        <w:rPr>
          <w:rFonts w:ascii="Arial" w:hAnsi="Arial" w:cs="Arial"/>
          <w:snapToGrid w:val="0"/>
          <w:sz w:val="14"/>
          <w:szCs w:val="14"/>
        </w:rPr>
        <w:t>intrumentação</w:t>
      </w:r>
      <w:proofErr w:type="spellEnd"/>
      <w:r w:rsidRPr="0044157E">
        <w:rPr>
          <w:rFonts w:ascii="Arial" w:hAnsi="Arial" w:cs="Arial"/>
          <w:snapToGrid w:val="0"/>
          <w:sz w:val="14"/>
          <w:szCs w:val="14"/>
        </w:rPr>
        <w:t>, São Carlos, SP.</w:t>
      </w:r>
    </w:p>
    <w:p w14:paraId="357AD535" w14:textId="360ACDE2" w:rsidR="00F61E4E" w:rsidRPr="0044157E" w:rsidRDefault="00F61E4E" w:rsidP="0044157E">
      <w:pPr>
        <w:jc w:val="center"/>
        <w:rPr>
          <w:rFonts w:ascii="Arial" w:hAnsi="Arial" w:cs="Arial"/>
          <w:snapToGrid w:val="0"/>
          <w:sz w:val="14"/>
          <w:szCs w:val="14"/>
        </w:rPr>
      </w:pPr>
      <w:r w:rsidRPr="0044157E">
        <w:rPr>
          <w:rFonts w:ascii="Arial" w:hAnsi="Arial" w:cs="Arial"/>
          <w:snapToGrid w:val="0"/>
          <w:sz w:val="14"/>
          <w:szCs w:val="14"/>
          <w:vertAlign w:val="superscript"/>
        </w:rPr>
        <w:t>3</w:t>
      </w:r>
      <w:r w:rsidR="00084D27" w:rsidRPr="0044157E">
        <w:rPr>
          <w:rFonts w:ascii="Arial" w:hAnsi="Arial" w:cs="Arial"/>
          <w:snapToGrid w:val="0"/>
          <w:sz w:val="14"/>
          <w:szCs w:val="14"/>
        </w:rPr>
        <w:t>Docente do Programa de Pós-graduação em Tecnologia Ambiental</w:t>
      </w:r>
      <w:r w:rsidRPr="0044157E">
        <w:rPr>
          <w:rFonts w:ascii="Arial" w:hAnsi="Arial" w:cs="Arial"/>
          <w:snapToGrid w:val="0"/>
          <w:sz w:val="14"/>
          <w:szCs w:val="14"/>
        </w:rPr>
        <w:t>,</w:t>
      </w:r>
      <w:r w:rsidR="00084D27" w:rsidRPr="0044157E">
        <w:rPr>
          <w:rFonts w:ascii="Arial" w:hAnsi="Arial" w:cs="Arial"/>
          <w:snapToGrid w:val="0"/>
          <w:sz w:val="14"/>
          <w:szCs w:val="14"/>
        </w:rPr>
        <w:t xml:space="preserve"> Universidade de Ribeirão Preto (UNAERP), Ribeirão Preto,</w:t>
      </w:r>
      <w:r w:rsidRPr="0044157E">
        <w:rPr>
          <w:rFonts w:ascii="Arial" w:hAnsi="Arial" w:cs="Arial"/>
          <w:snapToGrid w:val="0"/>
          <w:sz w:val="14"/>
          <w:szCs w:val="14"/>
        </w:rPr>
        <w:t xml:space="preserve"> SP.</w:t>
      </w:r>
    </w:p>
    <w:p w14:paraId="44521205" w14:textId="7599126B" w:rsidR="00F61E4E" w:rsidRPr="0044157E" w:rsidRDefault="00F61E4E" w:rsidP="0044157E">
      <w:pPr>
        <w:jc w:val="center"/>
        <w:rPr>
          <w:rFonts w:ascii="Arial" w:hAnsi="Arial" w:cs="Arial"/>
          <w:snapToGrid w:val="0"/>
          <w:sz w:val="14"/>
          <w:szCs w:val="14"/>
        </w:rPr>
      </w:pPr>
      <w:r w:rsidRPr="0044157E">
        <w:rPr>
          <w:rFonts w:ascii="Arial" w:hAnsi="Arial" w:cs="Arial"/>
          <w:snapToGrid w:val="0"/>
          <w:sz w:val="14"/>
          <w:szCs w:val="14"/>
          <w:vertAlign w:val="superscript"/>
        </w:rPr>
        <w:t>4</w:t>
      </w:r>
      <w:r w:rsidR="00084D27" w:rsidRPr="0044157E">
        <w:rPr>
          <w:rFonts w:ascii="Arial" w:hAnsi="Arial" w:cs="Arial"/>
          <w:snapToGrid w:val="0"/>
          <w:sz w:val="14"/>
          <w:szCs w:val="14"/>
        </w:rPr>
        <w:t>Pesquisador da Embrapa Instrumentação, São Carlos, SP</w:t>
      </w:r>
      <w:r w:rsidRPr="0044157E">
        <w:rPr>
          <w:rFonts w:ascii="Arial" w:hAnsi="Arial" w:cs="Arial"/>
          <w:snapToGrid w:val="0"/>
          <w:sz w:val="14"/>
          <w:szCs w:val="14"/>
        </w:rPr>
        <w:t>.</w:t>
      </w:r>
    </w:p>
    <w:p w14:paraId="1B8A1366" w14:textId="77777777" w:rsidR="00F61E4E" w:rsidRPr="0044157E" w:rsidRDefault="00F61E4E" w:rsidP="0044157E">
      <w:pPr>
        <w:jc w:val="center"/>
        <w:rPr>
          <w:rFonts w:ascii="Arial" w:hAnsi="Arial" w:cs="Arial"/>
          <w:sz w:val="14"/>
          <w:szCs w:val="14"/>
        </w:rPr>
      </w:pPr>
      <w:r w:rsidRPr="0044157E">
        <w:rPr>
          <w:rFonts w:ascii="Arial" w:hAnsi="Arial" w:cs="Arial"/>
          <w:snapToGrid w:val="0"/>
          <w:sz w:val="14"/>
          <w:szCs w:val="14"/>
          <w:vertAlign w:val="superscript"/>
        </w:rPr>
        <w:t>5</w:t>
      </w:r>
      <w:r w:rsidRPr="0044157E">
        <w:rPr>
          <w:rFonts w:ascii="Arial" w:hAnsi="Arial" w:cs="Arial"/>
          <w:snapToGrid w:val="0"/>
          <w:sz w:val="14"/>
          <w:szCs w:val="14"/>
        </w:rPr>
        <w:t>Pesquisadora da Embrapa Instrumentação, São Carlos, SP.</w:t>
      </w:r>
    </w:p>
    <w:p w14:paraId="1B16F1C5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A45D181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1B1D73C9" w14:textId="23C9B0E0" w:rsidR="00F61E4E" w:rsidRPr="0044157E" w:rsidRDefault="00D91728" w:rsidP="00D91728">
      <w:pPr>
        <w:pStyle w:val="Corpodetexto"/>
        <w:spacing w:line="240" w:lineRule="auto"/>
        <w:rPr>
          <w:rFonts w:cs="Arial"/>
          <w:sz w:val="20"/>
        </w:rPr>
      </w:pPr>
      <w:r w:rsidRPr="0044157E">
        <w:rPr>
          <w:rFonts w:cs="Arial"/>
          <w:sz w:val="20"/>
        </w:rPr>
        <w:t xml:space="preserve">A crescente demanda por práticas agrícolas mais sustentáveis tem impulsionado o uso de tecnologias inovadoras, como os inoculantes microbianos, que se destacam pela capacidade de melhorar a produtividade e qualidade dos cultivos de maneira ecológica. No entanto, a eficácia desses inoculantes pode ser limitada pela exposição a fatores ambientais adversos, como mudanças climáticas, variações de temperatura e umidade, além de interações com outros microrganismos, então para garantir a eficácia desses inoculantes, é necessário desenvolver plataformas de carregamento, proteção e dispersão adequadas. Assim, este trabalho desenvolveu, caracterizou e avaliou a eficácia do encapsulamento do </w:t>
      </w:r>
      <w:r w:rsidRPr="0044157E">
        <w:rPr>
          <w:rFonts w:cs="Arial"/>
          <w:i/>
          <w:iCs/>
          <w:sz w:val="20"/>
        </w:rPr>
        <w:t>Trichoderma harzianum</w:t>
      </w:r>
      <w:r w:rsidRPr="0044157E">
        <w:rPr>
          <w:rFonts w:cs="Arial"/>
          <w:sz w:val="20"/>
        </w:rPr>
        <w:t xml:space="preserve"> a partir de </w:t>
      </w:r>
      <w:proofErr w:type="spellStart"/>
      <w:r w:rsidRPr="0044157E">
        <w:rPr>
          <w:rFonts w:cs="Arial"/>
          <w:sz w:val="20"/>
        </w:rPr>
        <w:t>nanofibras</w:t>
      </w:r>
      <w:proofErr w:type="spellEnd"/>
      <w:r w:rsidRPr="0044157E">
        <w:rPr>
          <w:rFonts w:cs="Arial"/>
          <w:sz w:val="20"/>
        </w:rPr>
        <w:t xml:space="preserve"> de celulose (NFC) e nanopartículas de lignina (NPL) com o objetivo de aumentar a proteção e vida útil do microrganismo.</w:t>
      </w:r>
      <w:r w:rsidR="00C5609F" w:rsidRPr="0044157E">
        <w:rPr>
          <w:rFonts w:cs="Arial"/>
          <w:sz w:val="20"/>
        </w:rPr>
        <w:t xml:space="preserve"> </w:t>
      </w:r>
      <w:r w:rsidR="0044157E" w:rsidRPr="0044157E">
        <w:rPr>
          <w:rFonts w:cs="Arial"/>
          <w:sz w:val="20"/>
        </w:rPr>
        <w:t>Beads poliméricas foram desenvolvidas utilizando uma quantidade fixa de celulose e diferentes concentrações de nanopartículas de lignina (NPL), variando de 0 a 1%, com o objetivo de aprimorar as propriedades térmicas, ópticas e a resistência do material. A preparação foi realizada por meio da diluição dos componentes em uma solução de ureia e hidróxido de sódio, seguida de congelamento a -18 °C. Posteriormente, as beads foram reticuladas com três solventes distintos: ácido clorídrico (</w:t>
      </w:r>
      <w:proofErr w:type="spellStart"/>
      <w:r w:rsidR="0044157E" w:rsidRPr="0044157E">
        <w:rPr>
          <w:rFonts w:cs="Arial"/>
          <w:sz w:val="20"/>
        </w:rPr>
        <w:t>HCl</w:t>
      </w:r>
      <w:proofErr w:type="spellEnd"/>
      <w:r w:rsidR="0044157E" w:rsidRPr="0044157E">
        <w:rPr>
          <w:rFonts w:cs="Arial"/>
          <w:sz w:val="20"/>
        </w:rPr>
        <w:t>), cloreto de sódio (</w:t>
      </w:r>
      <w:proofErr w:type="spellStart"/>
      <w:r w:rsidR="0044157E" w:rsidRPr="0044157E">
        <w:rPr>
          <w:rFonts w:cs="Arial"/>
          <w:sz w:val="20"/>
        </w:rPr>
        <w:t>NaCl</w:t>
      </w:r>
      <w:proofErr w:type="spellEnd"/>
      <w:r w:rsidR="0044157E" w:rsidRPr="0044157E">
        <w:rPr>
          <w:rFonts w:cs="Arial"/>
          <w:sz w:val="20"/>
        </w:rPr>
        <w:t>) e cloreto de cálcio (</w:t>
      </w:r>
      <w:proofErr w:type="spellStart"/>
      <w:r w:rsidR="0044157E" w:rsidRPr="0044157E">
        <w:rPr>
          <w:rFonts w:cs="Arial"/>
          <w:sz w:val="20"/>
        </w:rPr>
        <w:t>CaCl</w:t>
      </w:r>
      <w:proofErr w:type="spellEnd"/>
      <w:r w:rsidR="0044157E" w:rsidRPr="0044157E">
        <w:rPr>
          <w:rFonts w:ascii="Cambria Math" w:hAnsi="Cambria Math" w:cs="Cambria Math"/>
          <w:sz w:val="20"/>
        </w:rPr>
        <w:t>₂</w:t>
      </w:r>
      <w:r w:rsidR="0044157E" w:rsidRPr="0044157E">
        <w:rPr>
          <w:rFonts w:cs="Arial"/>
          <w:sz w:val="20"/>
        </w:rPr>
        <w:t xml:space="preserve">). As amostras foram caracterizadas por espectroscopia no infravermelho (FTIR) e análise termogravimétrica (TGA). Embora os três solventes tenham promovido uma formação satisfatória das beads, o cloreto de cálcio destacou-se por proporcionar melhor estruturação e estabilidade do material, além de não representar risco toxicológico ao microrganismo. Diante dessas características físico-químicas favoráveis, as beads demonstraram grande potencial para a encapsulação do fungo </w:t>
      </w:r>
      <w:r w:rsidR="0044157E" w:rsidRPr="0044157E">
        <w:rPr>
          <w:rStyle w:val="nfase"/>
          <w:rFonts w:cs="Arial"/>
          <w:sz w:val="20"/>
        </w:rPr>
        <w:t>Trichoderma harzianum</w:t>
      </w:r>
      <w:r w:rsidR="0044157E" w:rsidRPr="0044157E">
        <w:rPr>
          <w:rFonts w:cs="Arial"/>
          <w:sz w:val="20"/>
        </w:rPr>
        <w:t>.</w:t>
      </w:r>
    </w:p>
    <w:p w14:paraId="56F8638B" w14:textId="77777777" w:rsidR="00D91728" w:rsidRPr="00F61E4E" w:rsidRDefault="00D91728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53EFA0D6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AFA2223" w14:textId="655296D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  <w:r w:rsidR="00084D27">
        <w:rPr>
          <w:rFonts w:ascii="Times New Roman" w:hAnsi="Times New Roman"/>
          <w:sz w:val="20"/>
        </w:rPr>
        <w:t>, FAPESP e CNPq</w:t>
      </w:r>
    </w:p>
    <w:p w14:paraId="58FC5DDF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F61E4E">
        <w:rPr>
          <w:rFonts w:ascii="Times New Roman" w:hAnsi="Times New Roman"/>
          <w:sz w:val="20"/>
        </w:rPr>
        <w:t>Engenharias</w:t>
      </w:r>
    </w:p>
    <w:p w14:paraId="64AA26F3" w14:textId="1B396273" w:rsidR="00F61E4E" w:rsidRPr="00084D27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084D27">
        <w:rPr>
          <w:rFonts w:ascii="Times New Roman" w:hAnsi="Times New Roman"/>
          <w:sz w:val="20"/>
        </w:rPr>
        <w:t xml:space="preserve">Celulose; Lignina; </w:t>
      </w:r>
      <w:r w:rsidR="00084D27" w:rsidRPr="00084D27">
        <w:rPr>
          <w:rFonts w:ascii="Times New Roman" w:hAnsi="Times New Roman"/>
          <w:i/>
          <w:iCs/>
          <w:sz w:val="20"/>
        </w:rPr>
        <w:t>Trichoderma Harzianum</w:t>
      </w:r>
      <w:r w:rsidR="00084D27">
        <w:rPr>
          <w:rFonts w:ascii="Times New Roman" w:hAnsi="Times New Roman"/>
          <w:sz w:val="20"/>
        </w:rPr>
        <w:t>; Encapsulamento.</w:t>
      </w:r>
    </w:p>
    <w:p w14:paraId="6EA52A8A" w14:textId="43C44F4D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</w:p>
    <w:p w14:paraId="515DF069" w14:textId="00CEB709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084D27">
        <w:rPr>
          <w:rFonts w:ascii="Times New Roman" w:hAnsi="Times New Roman"/>
          <w:sz w:val="20"/>
        </w:rPr>
        <w:t>Não se aplica.</w:t>
      </w:r>
    </w:p>
    <w:p w14:paraId="1BDCC4CA" w14:textId="6DE2EC04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084D27">
        <w:rPr>
          <w:rFonts w:ascii="Times New Roman" w:hAnsi="Times New Roman"/>
          <w:sz w:val="20"/>
        </w:rPr>
        <w:t>166648/2024-8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03C93" w14:textId="77777777" w:rsidR="006D5AC6" w:rsidRDefault="006D5AC6" w:rsidP="00E12AB0">
      <w:r>
        <w:separator/>
      </w:r>
    </w:p>
  </w:endnote>
  <w:endnote w:type="continuationSeparator" w:id="0">
    <w:p w14:paraId="228676CE" w14:textId="77777777" w:rsidR="006D5AC6" w:rsidRDefault="006D5AC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126A1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FCED6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640F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1207A" w14:textId="77777777" w:rsidR="006D5AC6" w:rsidRDefault="006D5AC6" w:rsidP="00E12AB0">
      <w:r>
        <w:separator/>
      </w:r>
    </w:p>
  </w:footnote>
  <w:footnote w:type="continuationSeparator" w:id="0">
    <w:p w14:paraId="40B691BB" w14:textId="77777777" w:rsidR="006D5AC6" w:rsidRDefault="006D5AC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0700B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74545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08B9485A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853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645A6"/>
    <w:rsid w:val="00084D27"/>
    <w:rsid w:val="002B6C6D"/>
    <w:rsid w:val="002C0BD5"/>
    <w:rsid w:val="002E0A8D"/>
    <w:rsid w:val="003477EB"/>
    <w:rsid w:val="0044157E"/>
    <w:rsid w:val="00484063"/>
    <w:rsid w:val="004946C2"/>
    <w:rsid w:val="005112AA"/>
    <w:rsid w:val="0057319E"/>
    <w:rsid w:val="00631539"/>
    <w:rsid w:val="006D42E4"/>
    <w:rsid w:val="006D5AC6"/>
    <w:rsid w:val="00767CE2"/>
    <w:rsid w:val="00785A21"/>
    <w:rsid w:val="008442E5"/>
    <w:rsid w:val="008D1B21"/>
    <w:rsid w:val="00940D47"/>
    <w:rsid w:val="00997AFC"/>
    <w:rsid w:val="00AA6733"/>
    <w:rsid w:val="00B46292"/>
    <w:rsid w:val="00B47FD2"/>
    <w:rsid w:val="00C5609F"/>
    <w:rsid w:val="00CD0F93"/>
    <w:rsid w:val="00CF7283"/>
    <w:rsid w:val="00D053EE"/>
    <w:rsid w:val="00D531A0"/>
    <w:rsid w:val="00D6751D"/>
    <w:rsid w:val="00D91728"/>
    <w:rsid w:val="00E12AB0"/>
    <w:rsid w:val="00F61E4E"/>
    <w:rsid w:val="00FA053B"/>
    <w:rsid w:val="00FA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F02A"/>
  <w15:docId w15:val="{F21F91A4-F8C7-4800-864F-377D0F24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styleId="nfase">
    <w:name w:val="Emphasis"/>
    <w:basedOn w:val="Fontepargpadro"/>
    <w:uiPriority w:val="20"/>
    <w:qFormat/>
    <w:rsid w:val="004415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81C9AF-8F33-41EE-8676-0C0F6D92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gabriel henrique</cp:lastModifiedBy>
  <cp:revision>2</cp:revision>
  <cp:lastPrinted>2025-07-12T02:17:00Z</cp:lastPrinted>
  <dcterms:created xsi:type="dcterms:W3CDTF">2025-07-12T02:22:00Z</dcterms:created>
  <dcterms:modified xsi:type="dcterms:W3CDTF">2025-07-12T02:22:00Z</dcterms:modified>
</cp:coreProperties>
</file>