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8B35" w14:textId="42924798" w:rsidR="009A7E16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356E2">
        <w:rPr>
          <w:rFonts w:ascii="Times New Roman" w:hAnsi="Times New Roman"/>
          <w:b/>
          <w:bCs/>
          <w:sz w:val="28"/>
          <w:szCs w:val="28"/>
        </w:rPr>
        <w:t xml:space="preserve">Estudo comparativo da taxa de prenhes </w:t>
      </w:r>
      <w:r w:rsidR="009C25DA">
        <w:rPr>
          <w:rFonts w:ascii="Times New Roman" w:hAnsi="Times New Roman"/>
          <w:b/>
          <w:bCs/>
          <w:sz w:val="28"/>
          <w:szCs w:val="28"/>
        </w:rPr>
        <w:t xml:space="preserve">e prolificidade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entre as raças </w:t>
      </w:r>
      <w:r w:rsidR="00A636F3">
        <w:rPr>
          <w:rFonts w:ascii="Times New Roman" w:hAnsi="Times New Roman"/>
          <w:b/>
          <w:bCs/>
          <w:sz w:val="28"/>
          <w:szCs w:val="28"/>
        </w:rPr>
        <w:t>W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hite </w:t>
      </w:r>
      <w:r w:rsidR="00A636F3">
        <w:rPr>
          <w:rFonts w:ascii="Times New Roman" w:hAnsi="Times New Roman"/>
          <w:b/>
          <w:bCs/>
          <w:sz w:val="28"/>
          <w:szCs w:val="28"/>
        </w:rPr>
        <w:t>D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>orper</w:t>
      </w:r>
      <w:r w:rsidR="00A636F3">
        <w:rPr>
          <w:rFonts w:ascii="Times New Roman" w:hAnsi="Times New Roman"/>
          <w:b/>
          <w:bCs/>
          <w:sz w:val="28"/>
          <w:szCs w:val="28"/>
        </w:rPr>
        <w:t>,</w:t>
      </w:r>
      <w:r w:rsidR="00A636F3" w:rsidRPr="007356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511A">
        <w:rPr>
          <w:rFonts w:ascii="Times New Roman" w:hAnsi="Times New Roman"/>
          <w:b/>
          <w:bCs/>
          <w:sz w:val="28"/>
          <w:szCs w:val="28"/>
        </w:rPr>
        <w:t>S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anta </w:t>
      </w:r>
      <w:r w:rsidR="005A511A">
        <w:rPr>
          <w:rFonts w:ascii="Times New Roman" w:hAnsi="Times New Roman"/>
          <w:b/>
          <w:bCs/>
          <w:sz w:val="28"/>
          <w:szCs w:val="28"/>
        </w:rPr>
        <w:t>I</w:t>
      </w:r>
      <w:r w:rsidRPr="007356E2">
        <w:rPr>
          <w:rFonts w:ascii="Times New Roman" w:hAnsi="Times New Roman"/>
          <w:b/>
          <w:bCs/>
          <w:sz w:val="28"/>
          <w:szCs w:val="28"/>
        </w:rPr>
        <w:t>nês</w:t>
      </w:r>
      <w:r w:rsidR="00A636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56E2">
        <w:rPr>
          <w:rFonts w:ascii="Times New Roman" w:hAnsi="Times New Roman"/>
          <w:b/>
          <w:bCs/>
          <w:sz w:val="28"/>
          <w:szCs w:val="28"/>
        </w:rPr>
        <w:t xml:space="preserve">e </w:t>
      </w:r>
      <w:proofErr w:type="spellStart"/>
      <w:r w:rsidR="005A511A">
        <w:rPr>
          <w:rFonts w:ascii="Times New Roman" w:hAnsi="Times New Roman"/>
          <w:b/>
          <w:bCs/>
          <w:sz w:val="28"/>
          <w:szCs w:val="28"/>
        </w:rPr>
        <w:t>T</w:t>
      </w:r>
      <w:r w:rsidRPr="007356E2">
        <w:rPr>
          <w:rFonts w:ascii="Times New Roman" w:hAnsi="Times New Roman"/>
          <w:b/>
          <w:bCs/>
          <w:sz w:val="28"/>
          <w:szCs w:val="28"/>
        </w:rPr>
        <w:t>exel</w:t>
      </w:r>
      <w:proofErr w:type="spellEnd"/>
    </w:p>
    <w:p w14:paraId="13D89165" w14:textId="77777777" w:rsidR="007356E2" w:rsidRPr="007356E2" w:rsidRDefault="007356E2" w:rsidP="009A7E16">
      <w:pPr>
        <w:pStyle w:val="Corpodetexto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304226" w14:textId="0047E4F1" w:rsidR="009A7E16" w:rsidRPr="00BC33E4" w:rsidRDefault="009A7E16" w:rsidP="009A7E16">
      <w:pPr>
        <w:jc w:val="center"/>
        <w:rPr>
          <w:snapToGrid w:val="0"/>
          <w:color w:val="FF0000"/>
          <w:sz w:val="22"/>
          <w:szCs w:val="22"/>
        </w:rPr>
      </w:pPr>
      <w:r w:rsidRPr="00BC33E4">
        <w:rPr>
          <w:snapToGrid w:val="0"/>
          <w:sz w:val="22"/>
          <w:szCs w:val="22"/>
          <w:u w:val="single"/>
        </w:rPr>
        <w:t>Estevão Camillo da Costa</w:t>
      </w:r>
      <w:r w:rsidRPr="00BC33E4">
        <w:rPr>
          <w:snapToGrid w:val="0"/>
          <w:sz w:val="22"/>
          <w:szCs w:val="22"/>
          <w:vertAlign w:val="superscript"/>
        </w:rPr>
        <w:t>1</w:t>
      </w:r>
      <w:r w:rsidRPr="00BC33E4">
        <w:rPr>
          <w:snapToGrid w:val="0"/>
          <w:sz w:val="22"/>
          <w:szCs w:val="22"/>
        </w:rPr>
        <w:t>;</w:t>
      </w:r>
      <w:r w:rsidR="00337116" w:rsidRPr="00BC33E4">
        <w:rPr>
          <w:snapToGrid w:val="0"/>
          <w:sz w:val="22"/>
          <w:szCs w:val="22"/>
        </w:rPr>
        <w:t xml:space="preserve"> Amanda Freitas da Cunha</w:t>
      </w:r>
      <w:r w:rsidR="003D624A" w:rsidRPr="00BC33E4">
        <w:rPr>
          <w:snapToGrid w:val="0"/>
          <w:sz w:val="22"/>
          <w:szCs w:val="22"/>
        </w:rPr>
        <w:t>¹</w:t>
      </w:r>
      <w:r w:rsidR="00337116" w:rsidRPr="00BC33E4">
        <w:rPr>
          <w:snapToGrid w:val="0"/>
          <w:sz w:val="22"/>
          <w:szCs w:val="22"/>
        </w:rPr>
        <w:t>;</w:t>
      </w:r>
      <w:r w:rsidRPr="00BC33E4">
        <w:rPr>
          <w:snapToGrid w:val="0"/>
          <w:sz w:val="22"/>
          <w:szCs w:val="22"/>
        </w:rPr>
        <w:t xml:space="preserve"> </w:t>
      </w:r>
      <w:r w:rsidR="00BC33E4" w:rsidRPr="00BC33E4">
        <w:rPr>
          <w:snapToGrid w:val="0"/>
          <w:sz w:val="22"/>
          <w:szCs w:val="22"/>
        </w:rPr>
        <w:t>Rafaela Tami Ikeda Kapritchkoff</w:t>
      </w:r>
      <w:r w:rsidR="00BC33E4" w:rsidRPr="00BC33E4">
        <w:rPr>
          <w:snapToGrid w:val="0"/>
          <w:sz w:val="22"/>
          <w:szCs w:val="22"/>
          <w:vertAlign w:val="superscript"/>
        </w:rPr>
        <w:t>2</w:t>
      </w:r>
      <w:r w:rsidR="00BC33E4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Hornblenda Joaquina Silva Bello</w:t>
      </w:r>
      <w:r w:rsidR="00BC33E4" w:rsidRPr="00BC33E4">
        <w:rPr>
          <w:snapToGrid w:val="0"/>
          <w:sz w:val="22"/>
          <w:szCs w:val="22"/>
          <w:vertAlign w:val="superscript"/>
        </w:rPr>
        <w:t>3</w:t>
      </w:r>
      <w:r w:rsidRPr="00BC33E4">
        <w:rPr>
          <w:snapToGrid w:val="0"/>
          <w:sz w:val="22"/>
          <w:szCs w:val="22"/>
        </w:rPr>
        <w:t xml:space="preserve">; </w:t>
      </w:r>
      <w:r w:rsidR="00337116" w:rsidRPr="00BC33E4">
        <w:rPr>
          <w:snapToGrid w:val="0"/>
          <w:sz w:val="22"/>
          <w:szCs w:val="22"/>
        </w:rPr>
        <w:t>Flavia Aline Bressani</w:t>
      </w:r>
      <w:r w:rsidR="00BC33E4" w:rsidRPr="00BC33E4">
        <w:rPr>
          <w:snapToGrid w:val="0"/>
          <w:sz w:val="22"/>
          <w:szCs w:val="22"/>
          <w:vertAlign w:val="superscript"/>
        </w:rPr>
        <w:t>4</w:t>
      </w:r>
      <w:r w:rsidR="00337116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>Ana Carolina de</w:t>
      </w:r>
      <w:r w:rsidR="00D5526B">
        <w:rPr>
          <w:snapToGrid w:val="0"/>
          <w:sz w:val="22"/>
          <w:szCs w:val="22"/>
        </w:rPr>
        <w:t xml:space="preserve"> Souza </w:t>
      </w:r>
      <w:r w:rsidRPr="00BC33E4">
        <w:rPr>
          <w:snapToGrid w:val="0"/>
          <w:sz w:val="22"/>
          <w:szCs w:val="22"/>
        </w:rPr>
        <w:t>Chagas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Pr="00BC33E4">
        <w:rPr>
          <w:snapToGrid w:val="0"/>
          <w:sz w:val="22"/>
          <w:szCs w:val="22"/>
        </w:rPr>
        <w:t xml:space="preserve">; </w:t>
      </w:r>
      <w:r w:rsidR="00A636F3" w:rsidRPr="00BC33E4">
        <w:rPr>
          <w:snapToGrid w:val="0"/>
          <w:sz w:val="22"/>
          <w:szCs w:val="22"/>
        </w:rPr>
        <w:t xml:space="preserve">Alessandro </w:t>
      </w:r>
      <w:proofErr w:type="spellStart"/>
      <w:r w:rsidR="00A636F3" w:rsidRPr="00BC33E4">
        <w:rPr>
          <w:snapToGrid w:val="0"/>
          <w:sz w:val="22"/>
          <w:szCs w:val="22"/>
        </w:rPr>
        <w:t>Pelegrine</w:t>
      </w:r>
      <w:proofErr w:type="spellEnd"/>
      <w:r w:rsidR="00A636F3" w:rsidRPr="00BC33E4">
        <w:rPr>
          <w:snapToGrid w:val="0"/>
          <w:sz w:val="22"/>
          <w:szCs w:val="22"/>
        </w:rPr>
        <w:t xml:space="preserve"> Minho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>; Waldomiro Barioni-Júnio</w:t>
      </w:r>
      <w:r w:rsidR="00504425">
        <w:rPr>
          <w:snapToGrid w:val="0"/>
          <w:sz w:val="22"/>
          <w:szCs w:val="22"/>
        </w:rPr>
        <w:t>r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  <w:r w:rsidR="00A636F3" w:rsidRPr="00BC33E4">
        <w:rPr>
          <w:snapToGrid w:val="0"/>
          <w:sz w:val="22"/>
          <w:szCs w:val="22"/>
        </w:rPr>
        <w:t xml:space="preserve">; </w:t>
      </w:r>
      <w:r w:rsidRPr="00BC33E4">
        <w:rPr>
          <w:snapToGrid w:val="0"/>
          <w:sz w:val="22"/>
          <w:szCs w:val="22"/>
        </w:rPr>
        <w:t xml:space="preserve">Sérgio </w:t>
      </w:r>
      <w:proofErr w:type="spellStart"/>
      <w:r w:rsidRPr="00BC33E4">
        <w:rPr>
          <w:snapToGrid w:val="0"/>
          <w:sz w:val="22"/>
          <w:szCs w:val="22"/>
        </w:rPr>
        <w:t>Novita</w:t>
      </w:r>
      <w:proofErr w:type="spellEnd"/>
      <w:r w:rsidRPr="00BC33E4">
        <w:rPr>
          <w:snapToGrid w:val="0"/>
          <w:sz w:val="22"/>
          <w:szCs w:val="22"/>
        </w:rPr>
        <w:t xml:space="preserve"> Esteves</w:t>
      </w:r>
      <w:r w:rsidR="00BC33E4" w:rsidRPr="00BC33E4">
        <w:rPr>
          <w:snapToGrid w:val="0"/>
          <w:sz w:val="22"/>
          <w:szCs w:val="22"/>
          <w:vertAlign w:val="superscript"/>
        </w:rPr>
        <w:t>5</w:t>
      </w:r>
    </w:p>
    <w:p w14:paraId="4F669A19" w14:textId="77777777" w:rsidR="009A7E16" w:rsidRPr="00BC33E4" w:rsidRDefault="009A7E16" w:rsidP="009A7E16">
      <w:pPr>
        <w:shd w:val="clear" w:color="auto" w:fill="FFFFFF"/>
        <w:jc w:val="center"/>
      </w:pPr>
    </w:p>
    <w:p w14:paraId="2E32994F" w14:textId="25059FC1" w:rsidR="009A7E16" w:rsidRPr="00BC33E4" w:rsidRDefault="009A7E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1</w:t>
      </w:r>
      <w:r w:rsidRPr="00BC33E4">
        <w:rPr>
          <w:snapToGrid w:val="0"/>
        </w:rPr>
        <w:t>Aluno</w:t>
      </w:r>
      <w:r w:rsidR="00CC202F">
        <w:rPr>
          <w:snapToGrid w:val="0"/>
        </w:rPr>
        <w:t>(a)</w:t>
      </w:r>
      <w:r w:rsidRPr="00BC33E4">
        <w:rPr>
          <w:snapToGrid w:val="0"/>
        </w:rPr>
        <w:t xml:space="preserve"> de graduação em Medicina Veterinária, Universidade Central Paulista de São Carlos, São Carlos, SP. Embrapa Pecuária Sudeste, São Carlos, SP; </w:t>
      </w:r>
      <w:hyperlink r:id="rId6" w:history="1">
        <w:r w:rsidR="00337116" w:rsidRPr="00BC33E4">
          <w:rPr>
            <w:rStyle w:val="Hyperlink"/>
            <w:snapToGrid w:val="0"/>
          </w:rPr>
          <w:t>estevaocamilloc@gmail.com</w:t>
        </w:r>
      </w:hyperlink>
      <w:r w:rsidRPr="00BC33E4">
        <w:rPr>
          <w:snapToGrid w:val="0"/>
        </w:rPr>
        <w:t>.</w:t>
      </w:r>
    </w:p>
    <w:p w14:paraId="00087D0D" w14:textId="6AFA401A" w:rsidR="00337116" w:rsidRPr="00BC33E4" w:rsidRDefault="00BC33E4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2</w:t>
      </w:r>
      <w:r w:rsidRPr="00BC33E4">
        <w:rPr>
          <w:snapToGrid w:val="0"/>
        </w:rPr>
        <w:t xml:space="preserve">Doutoranda da UNESP, </w:t>
      </w:r>
      <w:proofErr w:type="spellStart"/>
      <w:proofErr w:type="gramStart"/>
      <w:r w:rsidRPr="00BC33E4">
        <w:rPr>
          <w:snapToGrid w:val="0"/>
        </w:rPr>
        <w:t>Jaboticaba</w:t>
      </w:r>
      <w:r w:rsidR="00967BC2">
        <w:rPr>
          <w:snapToGrid w:val="0"/>
        </w:rPr>
        <w:t>l</w:t>
      </w:r>
      <w:r w:rsidRPr="00BC33E4">
        <w:rPr>
          <w:snapToGrid w:val="0"/>
        </w:rPr>
        <w:t>,SP</w:t>
      </w:r>
      <w:proofErr w:type="spellEnd"/>
      <w:r w:rsidRPr="00BC33E4">
        <w:rPr>
          <w:snapToGrid w:val="0"/>
        </w:rPr>
        <w:t>.</w:t>
      </w:r>
      <w:proofErr w:type="gramEnd"/>
    </w:p>
    <w:p w14:paraId="66303893" w14:textId="3986AA48" w:rsidR="009A7E16" w:rsidRDefault="00337116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3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Pós-doutoranda da Embrapa Pecuária Sudeste, São Carlos, SP.</w:t>
      </w:r>
    </w:p>
    <w:p w14:paraId="46091B7E" w14:textId="1438076F" w:rsidR="00E92F98" w:rsidRDefault="00BF7335" w:rsidP="009A7E16">
      <w:pPr>
        <w:jc w:val="both"/>
        <w:rPr>
          <w:snapToGrid w:val="0"/>
        </w:rPr>
      </w:pPr>
      <w:r>
        <w:rPr>
          <w:snapToGrid w:val="0"/>
          <w:vertAlign w:val="superscript"/>
        </w:rPr>
        <w:t>4</w:t>
      </w:r>
      <w:r>
        <w:rPr>
          <w:snapToGrid w:val="0"/>
        </w:rPr>
        <w:t>Analista</w:t>
      </w:r>
      <w:r w:rsidR="00D5526B" w:rsidRPr="00D5526B">
        <w:rPr>
          <w:snapToGrid w:val="0"/>
        </w:rPr>
        <w:t xml:space="preserve"> Embrapa Pecuária Sudeste</w:t>
      </w:r>
      <w:r w:rsidR="00D5526B">
        <w:rPr>
          <w:snapToGrid w:val="0"/>
        </w:rPr>
        <w:t>,</w:t>
      </w:r>
      <w:r w:rsidR="00D5526B" w:rsidRPr="00BC33E4">
        <w:rPr>
          <w:snapToGrid w:val="0"/>
        </w:rPr>
        <w:t xml:space="preserve"> São Carlos, SP</w:t>
      </w:r>
      <w:r w:rsidR="00D5526B">
        <w:rPr>
          <w:snapToGrid w:val="0"/>
        </w:rPr>
        <w:t>.</w:t>
      </w:r>
    </w:p>
    <w:p w14:paraId="62F7472D" w14:textId="32C4E16F" w:rsidR="009A7E16" w:rsidRPr="00BC33E4" w:rsidRDefault="00BC33E4" w:rsidP="009A7E16">
      <w:pPr>
        <w:jc w:val="both"/>
        <w:rPr>
          <w:snapToGrid w:val="0"/>
        </w:rPr>
      </w:pPr>
      <w:r w:rsidRPr="00BC33E4">
        <w:rPr>
          <w:snapToGrid w:val="0"/>
          <w:vertAlign w:val="superscript"/>
        </w:rPr>
        <w:t>5</w:t>
      </w:r>
      <w:r w:rsidR="009A7E16" w:rsidRPr="00BC33E4">
        <w:rPr>
          <w:snapToGrid w:val="0"/>
          <w:vertAlign w:val="superscript"/>
        </w:rPr>
        <w:t xml:space="preserve"> </w:t>
      </w:r>
      <w:r w:rsidR="009A7E16" w:rsidRPr="00BC33E4">
        <w:rPr>
          <w:snapToGrid w:val="0"/>
        </w:rPr>
        <w:t>Pesquisador da Embrapa Pecuária Sudeste, São Carlos, SP.</w:t>
      </w:r>
    </w:p>
    <w:p w14:paraId="43727924" w14:textId="77777777" w:rsidR="009A7E16" w:rsidRDefault="009A7E16" w:rsidP="009A7E16">
      <w:pPr>
        <w:jc w:val="both"/>
        <w:rPr>
          <w:snapToGrid w:val="0"/>
        </w:rPr>
      </w:pPr>
    </w:p>
    <w:p w14:paraId="199E3438" w14:textId="77777777" w:rsidR="009A7E16" w:rsidRPr="0070236B" w:rsidRDefault="009A7E16" w:rsidP="009A7E16">
      <w:pPr>
        <w:jc w:val="both"/>
        <w:rPr>
          <w:snapToGrid w:val="0"/>
        </w:rPr>
      </w:pPr>
    </w:p>
    <w:p w14:paraId="6304E306" w14:textId="1A836611" w:rsidR="00507D6B" w:rsidRDefault="009A7E16" w:rsidP="0036780B">
      <w:pPr>
        <w:jc w:val="both"/>
        <w:rPr>
          <w:sz w:val="24"/>
          <w:szCs w:val="24"/>
        </w:rPr>
      </w:pPr>
      <w:r w:rsidRPr="00F3048F">
        <w:rPr>
          <w:sz w:val="24"/>
          <w:szCs w:val="24"/>
        </w:rPr>
        <w:t xml:space="preserve">A avaliação da taxa de prenhez em ovelhas </w:t>
      </w:r>
      <w:r w:rsidR="00F3048F" w:rsidRPr="00F3048F">
        <w:rPr>
          <w:sz w:val="24"/>
          <w:szCs w:val="24"/>
        </w:rPr>
        <w:t xml:space="preserve">é fundamental </w:t>
      </w:r>
      <w:r w:rsidRPr="00F3048F">
        <w:rPr>
          <w:sz w:val="24"/>
          <w:szCs w:val="24"/>
        </w:rPr>
        <w:t>para a condução de um manejo reprodutivo eficiente, sustentável e economicamente viável nos sistemas de produção ovina.</w:t>
      </w:r>
      <w:r w:rsidR="000B0359">
        <w:rPr>
          <w:sz w:val="24"/>
          <w:szCs w:val="24"/>
        </w:rPr>
        <w:t xml:space="preserve"> A taxa de parição também é importante po</w:t>
      </w:r>
      <w:r w:rsidR="00130DF6">
        <w:rPr>
          <w:sz w:val="24"/>
          <w:szCs w:val="24"/>
        </w:rPr>
        <w:t>rque</w:t>
      </w:r>
      <w:r w:rsidR="000B0359">
        <w:rPr>
          <w:sz w:val="24"/>
          <w:szCs w:val="24"/>
        </w:rPr>
        <w:t xml:space="preserve"> reflete </w:t>
      </w:r>
      <w:r w:rsidR="00130DF6">
        <w:rPr>
          <w:sz w:val="24"/>
          <w:szCs w:val="24"/>
        </w:rPr>
        <w:t xml:space="preserve">a </w:t>
      </w:r>
      <w:r w:rsidR="000B0359" w:rsidRPr="000B0359">
        <w:rPr>
          <w:sz w:val="24"/>
          <w:szCs w:val="24"/>
        </w:rPr>
        <w:t>porcentagem de fêmeas que efetivamente dão à luz após um período de reprodução</w:t>
      </w:r>
      <w:r w:rsidR="000B0359">
        <w:rPr>
          <w:sz w:val="24"/>
          <w:szCs w:val="24"/>
        </w:rPr>
        <w:t>.</w:t>
      </w:r>
      <w:r w:rsidR="00572CD2" w:rsidRPr="00572CD2">
        <w:t xml:space="preserve"> </w:t>
      </w:r>
      <w:r w:rsidR="00572CD2" w:rsidRPr="00572CD2">
        <w:rPr>
          <w:sz w:val="24"/>
          <w:szCs w:val="24"/>
        </w:rPr>
        <w:t>A prolificidade</w:t>
      </w:r>
      <w:r w:rsidR="00337116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influencia diretamente a taxa de p</w:t>
      </w:r>
      <w:r w:rsidR="00572CD2">
        <w:rPr>
          <w:sz w:val="24"/>
          <w:szCs w:val="24"/>
        </w:rPr>
        <w:t>renhez</w:t>
      </w:r>
      <w:r w:rsidR="00572CD2" w:rsidRPr="00572CD2">
        <w:rPr>
          <w:sz w:val="24"/>
          <w:szCs w:val="24"/>
        </w:rPr>
        <w:t xml:space="preserve"> e a produtividade do rebanho. Embora traga ganhos econômicos, exige maior cuidado nutricional e</w:t>
      </w:r>
      <w:r w:rsidR="003D624A">
        <w:rPr>
          <w:sz w:val="24"/>
          <w:szCs w:val="24"/>
        </w:rPr>
        <w:t xml:space="preserve"> </w:t>
      </w:r>
      <w:r w:rsidR="00572CD2" w:rsidRPr="00572CD2">
        <w:rPr>
          <w:sz w:val="24"/>
          <w:szCs w:val="24"/>
        </w:rPr>
        <w:t>demanda</w:t>
      </w:r>
      <w:r w:rsidR="0083767E">
        <w:rPr>
          <w:sz w:val="24"/>
          <w:szCs w:val="24"/>
        </w:rPr>
        <w:t xml:space="preserve"> maior</w:t>
      </w:r>
      <w:r w:rsidR="00572CD2" w:rsidRPr="00572CD2">
        <w:rPr>
          <w:sz w:val="24"/>
          <w:szCs w:val="24"/>
        </w:rPr>
        <w:t xml:space="preserve"> atenção no manejo </w:t>
      </w:r>
      <w:r w:rsidR="0083767E">
        <w:rPr>
          <w:sz w:val="24"/>
          <w:szCs w:val="24"/>
        </w:rPr>
        <w:t>dos animais</w:t>
      </w:r>
      <w:r w:rsidR="00614365" w:rsidRPr="00614365">
        <w:rPr>
          <w:sz w:val="24"/>
          <w:szCs w:val="24"/>
        </w:rPr>
        <w:t xml:space="preserve">. </w:t>
      </w:r>
      <w:r w:rsidR="00014986" w:rsidRPr="00014986">
        <w:rPr>
          <w:sz w:val="24"/>
          <w:szCs w:val="24"/>
        </w:rPr>
        <w:t xml:space="preserve">A taxa de parição é calculada dividindo o número de animais que pariram pelo número total de animais </w:t>
      </w:r>
      <w:r w:rsidR="00130DF6">
        <w:rPr>
          <w:sz w:val="24"/>
          <w:szCs w:val="24"/>
        </w:rPr>
        <w:t>prenhes</w:t>
      </w:r>
      <w:r w:rsidR="00014986">
        <w:rPr>
          <w:sz w:val="24"/>
          <w:szCs w:val="24"/>
        </w:rPr>
        <w:t xml:space="preserve">. </w:t>
      </w:r>
      <w:r w:rsidRPr="00F3048F">
        <w:rPr>
          <w:sz w:val="24"/>
          <w:szCs w:val="24"/>
        </w:rPr>
        <w:t xml:space="preserve">O objetivo deste trabalho foi avaliar </w:t>
      </w:r>
      <w:r w:rsidR="00523EA4">
        <w:rPr>
          <w:sz w:val="24"/>
          <w:szCs w:val="24"/>
        </w:rPr>
        <w:t>a</w:t>
      </w:r>
      <w:r w:rsidRPr="00F3048F">
        <w:rPr>
          <w:sz w:val="24"/>
          <w:szCs w:val="24"/>
        </w:rPr>
        <w:t xml:space="preserve"> taxa de </w:t>
      </w:r>
      <w:r w:rsidRPr="00F3048F">
        <w:rPr>
          <w:rFonts w:eastAsiaTheme="majorEastAsia"/>
          <w:sz w:val="24"/>
          <w:szCs w:val="24"/>
        </w:rPr>
        <w:t>par</w:t>
      </w:r>
      <w:r w:rsidR="00014986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</w:t>
      </w:r>
      <w:r w:rsidR="00130DF6">
        <w:rPr>
          <w:sz w:val="24"/>
          <w:szCs w:val="24"/>
        </w:rPr>
        <w:t xml:space="preserve">e a prolificidade </w:t>
      </w:r>
      <w:r w:rsidRPr="00F3048F">
        <w:rPr>
          <w:sz w:val="24"/>
          <w:szCs w:val="24"/>
        </w:rPr>
        <w:t>de ovelhas das raças</w:t>
      </w:r>
      <w:r w:rsidR="00A636F3">
        <w:rPr>
          <w:sz w:val="24"/>
          <w:szCs w:val="24"/>
        </w:rPr>
        <w:t xml:space="preserve"> </w:t>
      </w:r>
      <w:r w:rsidR="00A636F3" w:rsidRPr="00F3048F">
        <w:rPr>
          <w:sz w:val="24"/>
          <w:szCs w:val="24"/>
        </w:rPr>
        <w:t>White Dorper</w:t>
      </w:r>
      <w:r w:rsidR="00A636F3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Santa Inês</w:t>
      </w:r>
      <w:r w:rsidR="00A636F3">
        <w:rPr>
          <w:sz w:val="24"/>
          <w:szCs w:val="24"/>
        </w:rPr>
        <w:t xml:space="preserve"> </w:t>
      </w:r>
      <w:r w:rsidRPr="00F3048F">
        <w:rPr>
          <w:sz w:val="24"/>
          <w:szCs w:val="24"/>
        </w:rPr>
        <w:t xml:space="preserve">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</w:t>
      </w:r>
      <w:r w:rsidR="00523EA4">
        <w:rPr>
          <w:sz w:val="24"/>
          <w:szCs w:val="24"/>
        </w:rPr>
        <w:t>submetidas a três estações de monta natural de 60 dias</w:t>
      </w:r>
      <w:r w:rsidR="00014986">
        <w:rPr>
          <w:sz w:val="24"/>
          <w:szCs w:val="24"/>
        </w:rPr>
        <w:t xml:space="preserve"> nos meses de março e abril</w:t>
      </w:r>
      <w:r w:rsidR="00523EA4">
        <w:rPr>
          <w:sz w:val="24"/>
          <w:szCs w:val="24"/>
        </w:rPr>
        <w:t>, durante os anos d</w:t>
      </w:r>
      <w:r w:rsidRPr="00F3048F">
        <w:rPr>
          <w:sz w:val="24"/>
          <w:szCs w:val="24"/>
        </w:rPr>
        <w:t xml:space="preserve">e </w:t>
      </w:r>
      <w:r w:rsidR="00523EA4">
        <w:rPr>
          <w:sz w:val="24"/>
          <w:szCs w:val="24"/>
        </w:rPr>
        <w:t>2022, 2023 e 2024</w:t>
      </w:r>
      <w:r w:rsidRPr="00F3048F">
        <w:rPr>
          <w:sz w:val="24"/>
          <w:szCs w:val="24"/>
        </w:rPr>
        <w:t>. Os dados foram obtidos por meio do monitoramento de 180 fêmeas ovinas</w:t>
      </w:r>
      <w:r w:rsidR="00014986">
        <w:rPr>
          <w:sz w:val="24"/>
          <w:szCs w:val="24"/>
        </w:rPr>
        <w:t xml:space="preserve"> por ano</w:t>
      </w:r>
      <w:r w:rsidRPr="00F3048F">
        <w:rPr>
          <w:sz w:val="24"/>
          <w:szCs w:val="24"/>
        </w:rPr>
        <w:t xml:space="preserve">, distribuídas igualmente entre as raças White Dorper, Santa Inês e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, com 60 matrizes de cada </w:t>
      </w:r>
      <w:r w:rsidR="00014986">
        <w:rPr>
          <w:sz w:val="24"/>
          <w:szCs w:val="24"/>
        </w:rPr>
        <w:t>raça</w:t>
      </w:r>
      <w:r w:rsidRPr="00014986">
        <w:rPr>
          <w:sz w:val="24"/>
          <w:szCs w:val="24"/>
        </w:rPr>
        <w:t xml:space="preserve">. </w:t>
      </w:r>
      <w:r w:rsidR="00523EA4" w:rsidRPr="00014986">
        <w:rPr>
          <w:sz w:val="24"/>
          <w:szCs w:val="24"/>
        </w:rPr>
        <w:t xml:space="preserve">As taxas de parições </w:t>
      </w:r>
      <w:r w:rsidR="00762DA1" w:rsidRPr="00014986">
        <w:rPr>
          <w:sz w:val="24"/>
          <w:szCs w:val="24"/>
        </w:rPr>
        <w:t xml:space="preserve">observadas englobaram os partos normais, </w:t>
      </w:r>
      <w:proofErr w:type="spellStart"/>
      <w:r w:rsidR="00762DA1" w:rsidRPr="00014986">
        <w:rPr>
          <w:sz w:val="24"/>
          <w:szCs w:val="24"/>
        </w:rPr>
        <w:t>distócicos</w:t>
      </w:r>
      <w:proofErr w:type="spellEnd"/>
      <w:r w:rsidR="00762DA1" w:rsidRPr="00014986">
        <w:rPr>
          <w:sz w:val="24"/>
          <w:szCs w:val="24"/>
        </w:rPr>
        <w:t xml:space="preserve"> e por meio de cesariana. </w:t>
      </w:r>
      <w:r w:rsidRPr="00014986">
        <w:rPr>
          <w:sz w:val="24"/>
          <w:szCs w:val="24"/>
        </w:rPr>
        <w:t xml:space="preserve">Os </w:t>
      </w:r>
      <w:r w:rsidRPr="00F3048F">
        <w:rPr>
          <w:sz w:val="24"/>
          <w:szCs w:val="24"/>
        </w:rPr>
        <w:t xml:space="preserve">dados foram avaliados pelo software </w:t>
      </w:r>
      <w:r w:rsidRPr="00F3048F">
        <w:rPr>
          <w:rFonts w:eastAsiaTheme="majorEastAsia"/>
          <w:sz w:val="24"/>
          <w:szCs w:val="24"/>
        </w:rPr>
        <w:t>SAS (</w:t>
      </w:r>
      <w:proofErr w:type="spellStart"/>
      <w:r w:rsidRPr="00F3048F">
        <w:rPr>
          <w:rFonts w:eastAsiaTheme="majorEastAsia"/>
          <w:sz w:val="24"/>
          <w:szCs w:val="24"/>
        </w:rPr>
        <w:t>Statistical</w:t>
      </w:r>
      <w:proofErr w:type="spellEnd"/>
      <w:r w:rsidRPr="00F3048F">
        <w:rPr>
          <w:rFonts w:eastAsiaTheme="majorEastAsia"/>
          <w:sz w:val="24"/>
          <w:szCs w:val="24"/>
        </w:rPr>
        <w:t xml:space="preserve"> </w:t>
      </w:r>
      <w:proofErr w:type="spellStart"/>
      <w:r w:rsidRPr="00F3048F">
        <w:rPr>
          <w:rFonts w:eastAsiaTheme="majorEastAsia"/>
          <w:sz w:val="24"/>
          <w:szCs w:val="24"/>
        </w:rPr>
        <w:t>Analytics</w:t>
      </w:r>
      <w:proofErr w:type="spellEnd"/>
      <w:r w:rsidRPr="00F3048F">
        <w:rPr>
          <w:rFonts w:eastAsiaTheme="majorEastAsia"/>
          <w:sz w:val="24"/>
          <w:szCs w:val="24"/>
        </w:rPr>
        <w:t xml:space="preserve"> System)</w:t>
      </w:r>
      <w:r w:rsidRPr="00F3048F">
        <w:rPr>
          <w:sz w:val="24"/>
          <w:szCs w:val="24"/>
        </w:rPr>
        <w:t xml:space="preserve"> que </w:t>
      </w:r>
      <w:r w:rsidRPr="00F3048F">
        <w:rPr>
          <w:rFonts w:eastAsiaTheme="majorEastAsia"/>
          <w:sz w:val="24"/>
          <w:szCs w:val="24"/>
        </w:rPr>
        <w:t>forneceu</w:t>
      </w:r>
      <w:r w:rsidRPr="00F3048F">
        <w:rPr>
          <w:sz w:val="24"/>
          <w:szCs w:val="24"/>
        </w:rPr>
        <w:t xml:space="preserve"> as </w:t>
      </w:r>
      <w:r w:rsidRPr="00F3048F">
        <w:rPr>
          <w:rFonts w:eastAsiaTheme="majorEastAsia"/>
          <w:sz w:val="24"/>
          <w:szCs w:val="24"/>
        </w:rPr>
        <w:t>médias</w:t>
      </w:r>
      <w:r w:rsidRPr="00F3048F">
        <w:rPr>
          <w:sz w:val="24"/>
          <w:szCs w:val="24"/>
        </w:rPr>
        <w:t xml:space="preserve"> d</w:t>
      </w:r>
      <w:r w:rsidR="00762DA1">
        <w:rPr>
          <w:sz w:val="24"/>
          <w:szCs w:val="24"/>
        </w:rPr>
        <w:t xml:space="preserve">e porcentagem de parição </w:t>
      </w:r>
      <w:r w:rsidRPr="00F3048F">
        <w:rPr>
          <w:sz w:val="24"/>
          <w:szCs w:val="24"/>
        </w:rPr>
        <w:t xml:space="preserve">das três raças nos </w:t>
      </w:r>
      <w:r w:rsidR="00762DA1">
        <w:rPr>
          <w:sz w:val="24"/>
          <w:szCs w:val="24"/>
        </w:rPr>
        <w:t xml:space="preserve">três </w:t>
      </w:r>
      <w:r w:rsidRPr="00F3048F">
        <w:rPr>
          <w:sz w:val="24"/>
          <w:szCs w:val="24"/>
        </w:rPr>
        <w:t xml:space="preserve">anos. As médias apresentaram </w:t>
      </w:r>
      <w:r w:rsidR="00762DA1">
        <w:rPr>
          <w:sz w:val="24"/>
          <w:szCs w:val="24"/>
        </w:rPr>
        <w:t>diferenças significativas</w:t>
      </w:r>
      <w:r w:rsidRPr="00F3048F">
        <w:rPr>
          <w:sz w:val="24"/>
          <w:szCs w:val="24"/>
        </w:rPr>
        <w:t xml:space="preserve"> </w:t>
      </w:r>
      <w:r w:rsidR="00306285" w:rsidRPr="00F3048F">
        <w:rPr>
          <w:sz w:val="24"/>
          <w:szCs w:val="24"/>
        </w:rPr>
        <w:t>n</w:t>
      </w:r>
      <w:r w:rsidR="00306285">
        <w:rPr>
          <w:sz w:val="24"/>
          <w:szCs w:val="24"/>
        </w:rPr>
        <w:t>as taxas de parição</w:t>
      </w:r>
      <w:r w:rsidR="00306285" w:rsidRPr="00F3048F">
        <w:rPr>
          <w:sz w:val="24"/>
          <w:szCs w:val="24"/>
        </w:rPr>
        <w:t xml:space="preserve"> </w:t>
      </w:r>
      <w:r w:rsidR="00014986">
        <w:rPr>
          <w:sz w:val="24"/>
          <w:szCs w:val="24"/>
        </w:rPr>
        <w:t xml:space="preserve">entre </w:t>
      </w:r>
      <w:r w:rsidRPr="00F3048F">
        <w:rPr>
          <w:sz w:val="24"/>
          <w:szCs w:val="24"/>
        </w:rPr>
        <w:t>diferentes raças ovinas</w:t>
      </w:r>
      <w:r w:rsidR="00306285">
        <w:rPr>
          <w:sz w:val="24"/>
          <w:szCs w:val="24"/>
        </w:rPr>
        <w:t xml:space="preserve"> e ano</w:t>
      </w:r>
      <w:r w:rsidRPr="00F3048F">
        <w:rPr>
          <w:sz w:val="24"/>
          <w:szCs w:val="24"/>
        </w:rPr>
        <w:t xml:space="preserve">. No ano de 2022, a taxa média de </w:t>
      </w:r>
      <w:r w:rsidRPr="00F3048F">
        <w:rPr>
          <w:rFonts w:eastAsiaTheme="majorEastAsia"/>
          <w:sz w:val="24"/>
          <w:szCs w:val="24"/>
        </w:rPr>
        <w:t>par</w:t>
      </w:r>
      <w:r w:rsidR="00306285">
        <w:rPr>
          <w:rFonts w:eastAsiaTheme="majorEastAsia"/>
          <w:sz w:val="24"/>
          <w:szCs w:val="24"/>
        </w:rPr>
        <w:t>ição</w:t>
      </w:r>
      <w:r w:rsidRPr="00F3048F">
        <w:rPr>
          <w:sz w:val="24"/>
          <w:szCs w:val="24"/>
        </w:rPr>
        <w:t xml:space="preserve"> foi de 62,3% para a raça White Dorper, 66,7% para a Santa Inês e 8</w:t>
      </w:r>
      <w:r w:rsidR="00014986">
        <w:rPr>
          <w:sz w:val="24"/>
          <w:szCs w:val="24"/>
        </w:rPr>
        <w:t>8</w:t>
      </w:r>
      <w:r w:rsidRPr="00F3048F">
        <w:rPr>
          <w:sz w:val="24"/>
          <w:szCs w:val="24"/>
        </w:rPr>
        <w:t xml:space="preserve">,1% para a </w:t>
      </w:r>
      <w:proofErr w:type="spellStart"/>
      <w:r w:rsidRPr="00F3048F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>. Em 2023, observou-se um aumento nos índices, com médias de 69,0%, 70,5% e 9</w:t>
      </w:r>
      <w:r w:rsidR="00014986">
        <w:rPr>
          <w:sz w:val="24"/>
          <w:szCs w:val="24"/>
        </w:rPr>
        <w:t>1,9</w:t>
      </w:r>
      <w:r w:rsidRPr="00F3048F">
        <w:rPr>
          <w:sz w:val="24"/>
          <w:szCs w:val="24"/>
        </w:rPr>
        <w:t>%, respectivamente</w:t>
      </w:r>
      <w:r w:rsidR="00967BC2">
        <w:rPr>
          <w:sz w:val="24"/>
          <w:szCs w:val="24"/>
        </w:rPr>
        <w:t>,</w:t>
      </w:r>
      <w:r w:rsidR="00656076">
        <w:rPr>
          <w:sz w:val="24"/>
          <w:szCs w:val="24"/>
        </w:rPr>
        <w:t xml:space="preserve"> e significativamente (P&lt;0,05) maior para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Pr="00F3048F">
        <w:rPr>
          <w:sz w:val="24"/>
          <w:szCs w:val="24"/>
        </w:rPr>
        <w:t xml:space="preserve">. Já em 2024, as médias </w:t>
      </w:r>
      <w:r w:rsidR="00014986">
        <w:rPr>
          <w:sz w:val="24"/>
          <w:szCs w:val="24"/>
        </w:rPr>
        <w:t>observadas</w:t>
      </w:r>
      <w:r w:rsidRPr="00F3048F">
        <w:rPr>
          <w:sz w:val="24"/>
          <w:szCs w:val="24"/>
        </w:rPr>
        <w:t xml:space="preserve"> foram de 77,8%</w:t>
      </w:r>
      <w:r w:rsidR="00967BC2">
        <w:rPr>
          <w:sz w:val="24"/>
          <w:szCs w:val="24"/>
        </w:rPr>
        <w:t>,</w:t>
      </w:r>
      <w:r w:rsidRPr="00F3048F">
        <w:rPr>
          <w:sz w:val="24"/>
          <w:szCs w:val="24"/>
        </w:rPr>
        <w:t xml:space="preserve"> 83,3% e 70,2%</w:t>
      </w:r>
      <w:r w:rsidR="00967BC2">
        <w:rPr>
          <w:sz w:val="24"/>
          <w:szCs w:val="24"/>
        </w:rPr>
        <w:t>, respectivamente,</w:t>
      </w:r>
      <w:r w:rsidR="00656076">
        <w:rPr>
          <w:sz w:val="24"/>
          <w:szCs w:val="24"/>
        </w:rPr>
        <w:t xml:space="preserve"> e não diferiram significativamente entre si</w:t>
      </w:r>
      <w:r w:rsidRPr="00F3048F">
        <w:rPr>
          <w:sz w:val="24"/>
          <w:szCs w:val="24"/>
        </w:rPr>
        <w:t xml:space="preserve">. </w:t>
      </w:r>
      <w:r w:rsidR="00656076" w:rsidRPr="00F3048F">
        <w:rPr>
          <w:sz w:val="24"/>
          <w:szCs w:val="24"/>
        </w:rPr>
        <w:t>Considerando o período de três anos,</w:t>
      </w:r>
      <w:r w:rsidR="00656076">
        <w:rPr>
          <w:sz w:val="24"/>
          <w:szCs w:val="24"/>
        </w:rPr>
        <w:t xml:space="preserve"> a taxa de parição entre as raças White Dorper (69,8%) e Santa Inês (73,8%) não diferiram entre si, sendo a da raça </w:t>
      </w:r>
      <w:proofErr w:type="spellStart"/>
      <w:r w:rsidR="00656076">
        <w:rPr>
          <w:sz w:val="24"/>
          <w:szCs w:val="24"/>
        </w:rPr>
        <w:t>Texel</w:t>
      </w:r>
      <w:proofErr w:type="spellEnd"/>
      <w:r w:rsidR="00656076">
        <w:rPr>
          <w:sz w:val="24"/>
          <w:szCs w:val="24"/>
        </w:rPr>
        <w:t xml:space="preserve"> (</w:t>
      </w:r>
      <w:r w:rsidR="00C13F3A">
        <w:rPr>
          <w:sz w:val="24"/>
          <w:szCs w:val="24"/>
        </w:rPr>
        <w:t xml:space="preserve">83,0%) </w:t>
      </w:r>
      <w:r w:rsidR="00656076">
        <w:rPr>
          <w:sz w:val="24"/>
          <w:szCs w:val="24"/>
        </w:rPr>
        <w:t xml:space="preserve">significativamente </w:t>
      </w:r>
      <w:r w:rsidR="00C13F3A">
        <w:rPr>
          <w:sz w:val="24"/>
          <w:szCs w:val="24"/>
        </w:rPr>
        <w:t xml:space="preserve">(P&lt;0,05) </w:t>
      </w:r>
      <w:r w:rsidR="00656076">
        <w:rPr>
          <w:sz w:val="24"/>
          <w:szCs w:val="24"/>
        </w:rPr>
        <w:t>superio</w:t>
      </w:r>
      <w:r w:rsidR="00C13F3A">
        <w:rPr>
          <w:sz w:val="24"/>
          <w:szCs w:val="24"/>
        </w:rPr>
        <w:t>r</w:t>
      </w:r>
      <w:r w:rsidR="00656076">
        <w:rPr>
          <w:sz w:val="24"/>
          <w:szCs w:val="24"/>
        </w:rPr>
        <w:t xml:space="preserve"> </w:t>
      </w:r>
      <w:r w:rsidR="00C13F3A">
        <w:rPr>
          <w:sz w:val="24"/>
          <w:szCs w:val="24"/>
        </w:rPr>
        <w:t>à</w:t>
      </w:r>
      <w:r w:rsidR="00656076">
        <w:rPr>
          <w:sz w:val="24"/>
          <w:szCs w:val="24"/>
        </w:rPr>
        <w:t>s demais</w:t>
      </w:r>
      <w:r w:rsidR="00C13F3A">
        <w:rPr>
          <w:sz w:val="24"/>
          <w:szCs w:val="24"/>
        </w:rPr>
        <w:t xml:space="preserve">. </w:t>
      </w:r>
      <w:r w:rsidR="00507D6B">
        <w:rPr>
          <w:sz w:val="24"/>
          <w:szCs w:val="24"/>
        </w:rPr>
        <w:t>A porcentagem de partos simples e múltiplos (</w:t>
      </w:r>
      <w:r w:rsidR="009C25DA">
        <w:rPr>
          <w:sz w:val="24"/>
          <w:szCs w:val="24"/>
        </w:rPr>
        <w:t xml:space="preserve">foram considerados os partos </w:t>
      </w:r>
      <w:r w:rsidR="00507D6B">
        <w:rPr>
          <w:sz w:val="24"/>
          <w:szCs w:val="24"/>
        </w:rPr>
        <w:t>gemelar</w:t>
      </w:r>
      <w:r w:rsidR="009C25DA">
        <w:rPr>
          <w:sz w:val="24"/>
          <w:szCs w:val="24"/>
        </w:rPr>
        <w:t>es</w:t>
      </w:r>
      <w:r w:rsidR="00507D6B">
        <w:rPr>
          <w:sz w:val="24"/>
          <w:szCs w:val="24"/>
        </w:rPr>
        <w:t xml:space="preserve"> e triplo</w:t>
      </w:r>
      <w:r w:rsidR="009C25DA">
        <w:rPr>
          <w:sz w:val="24"/>
          <w:szCs w:val="24"/>
        </w:rPr>
        <w:t>s</w:t>
      </w:r>
      <w:r w:rsidR="00507D6B">
        <w:rPr>
          <w:sz w:val="24"/>
          <w:szCs w:val="24"/>
        </w:rPr>
        <w:t>) foram respectivamente 66,5% e 36,5% para o White Dorper, 51,7% e 48,3% para Santa Inês e 70,2% e 29,8% para</w:t>
      </w:r>
      <w:r w:rsidR="00A636F3">
        <w:rPr>
          <w:sz w:val="24"/>
          <w:szCs w:val="24"/>
        </w:rPr>
        <w:t xml:space="preserve"> </w:t>
      </w:r>
      <w:proofErr w:type="spellStart"/>
      <w:r w:rsidR="00507D6B">
        <w:rPr>
          <w:sz w:val="24"/>
          <w:szCs w:val="24"/>
        </w:rPr>
        <w:t>Texel</w:t>
      </w:r>
      <w:proofErr w:type="spellEnd"/>
      <w:r w:rsidR="00507D6B">
        <w:rPr>
          <w:sz w:val="24"/>
          <w:szCs w:val="24"/>
        </w:rPr>
        <w:t>, demonstrando que a raça nativa Santa Inês te</w:t>
      </w:r>
      <w:r w:rsidR="009C25DA">
        <w:rPr>
          <w:sz w:val="24"/>
          <w:szCs w:val="24"/>
        </w:rPr>
        <w:t>ve</w:t>
      </w:r>
      <w:r w:rsidR="00507D6B">
        <w:rPr>
          <w:sz w:val="24"/>
          <w:szCs w:val="24"/>
        </w:rPr>
        <w:t xml:space="preserve"> maior prolificidade que as demais raças.</w:t>
      </w:r>
      <w:r w:rsidR="00337116">
        <w:rPr>
          <w:sz w:val="24"/>
          <w:szCs w:val="24"/>
        </w:rPr>
        <w:t xml:space="preserve"> V</w:t>
      </w:r>
      <w:r w:rsidR="00337116" w:rsidRPr="00337116">
        <w:rPr>
          <w:sz w:val="24"/>
          <w:szCs w:val="24"/>
        </w:rPr>
        <w:t>erific</w:t>
      </w:r>
      <w:r w:rsidR="00337116">
        <w:rPr>
          <w:sz w:val="24"/>
          <w:szCs w:val="24"/>
        </w:rPr>
        <w:t>ou</w:t>
      </w:r>
      <w:r w:rsidR="00337116" w:rsidRPr="00337116">
        <w:rPr>
          <w:sz w:val="24"/>
          <w:szCs w:val="24"/>
        </w:rPr>
        <w:t xml:space="preserve">-se que a raça </w:t>
      </w:r>
      <w:proofErr w:type="spellStart"/>
      <w:r w:rsidR="00337116" w:rsidRPr="00337116">
        <w:rPr>
          <w:sz w:val="24"/>
          <w:szCs w:val="24"/>
        </w:rPr>
        <w:t>Texel</w:t>
      </w:r>
      <w:proofErr w:type="spellEnd"/>
      <w:r w:rsidR="00337116" w:rsidRPr="00337116">
        <w:rPr>
          <w:sz w:val="24"/>
          <w:szCs w:val="24"/>
        </w:rPr>
        <w:t xml:space="preserve"> apresentou a maior taxa de prenhez entre as raças avaliadas, evidenciando seu potencial reprodutivo e sua aptidão para sistemas produtivos</w:t>
      </w:r>
      <w:r w:rsidR="00D5526B">
        <w:rPr>
          <w:sz w:val="24"/>
          <w:szCs w:val="24"/>
        </w:rPr>
        <w:t xml:space="preserve"> de carne ovina</w:t>
      </w:r>
      <w:r w:rsidR="00337116" w:rsidRPr="00337116">
        <w:rPr>
          <w:sz w:val="24"/>
          <w:szCs w:val="24"/>
        </w:rPr>
        <w:t xml:space="preserve"> mais eficientes.</w:t>
      </w:r>
    </w:p>
    <w:p w14:paraId="090E3880" w14:textId="77777777" w:rsidR="0036780B" w:rsidRDefault="0036780B" w:rsidP="0036780B">
      <w:pPr>
        <w:jc w:val="both"/>
        <w:rPr>
          <w:sz w:val="22"/>
          <w:szCs w:val="22"/>
        </w:rPr>
      </w:pPr>
    </w:p>
    <w:p w14:paraId="2723C205" w14:textId="77777777" w:rsidR="00CC202F" w:rsidRDefault="00CC202F" w:rsidP="0083767E">
      <w:pPr>
        <w:jc w:val="both"/>
        <w:rPr>
          <w:b/>
          <w:bCs/>
        </w:rPr>
      </w:pPr>
    </w:p>
    <w:p w14:paraId="58E517C1" w14:textId="77777777" w:rsidR="00CC202F" w:rsidRDefault="00CC202F" w:rsidP="0083767E">
      <w:pPr>
        <w:jc w:val="both"/>
        <w:rPr>
          <w:b/>
          <w:bCs/>
        </w:rPr>
      </w:pPr>
    </w:p>
    <w:p w14:paraId="44340A1C" w14:textId="4BD8D80C" w:rsidR="00306285" w:rsidRPr="00D5526B" w:rsidRDefault="00306285" w:rsidP="0083767E">
      <w:pPr>
        <w:jc w:val="both"/>
      </w:pPr>
      <w:r w:rsidRPr="00D5526B">
        <w:rPr>
          <w:b/>
          <w:bCs/>
        </w:rPr>
        <w:t>Apoio financeiro:</w:t>
      </w:r>
      <w:r w:rsidRPr="00D5526B">
        <w:t xml:space="preserve"> PIBIC e FAPESP</w:t>
      </w:r>
    </w:p>
    <w:p w14:paraId="1B74B355" w14:textId="640A54C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Área: </w:t>
      </w:r>
      <w:r w:rsidR="009C25DA" w:rsidRPr="00D5526B">
        <w:rPr>
          <w:rFonts w:ascii="Times New Roman" w:hAnsi="Times New Roman"/>
          <w:sz w:val="20"/>
        </w:rPr>
        <w:t>Ciências Agrárias</w:t>
      </w:r>
    </w:p>
    <w:p w14:paraId="67109194" w14:textId="07E4D5E1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>Palavras-chave</w:t>
      </w:r>
      <w:r w:rsidRPr="00D5526B">
        <w:rPr>
          <w:rFonts w:ascii="Times New Roman" w:hAnsi="Times New Roman"/>
          <w:sz w:val="20"/>
        </w:rPr>
        <w:t xml:space="preserve">: Taxa de parição, </w:t>
      </w:r>
      <w:r w:rsidR="009C25DA" w:rsidRPr="00D5526B">
        <w:rPr>
          <w:rFonts w:ascii="Times New Roman" w:hAnsi="Times New Roman"/>
          <w:sz w:val="20"/>
        </w:rPr>
        <w:t xml:space="preserve">prolificidade, </w:t>
      </w:r>
      <w:r w:rsidRPr="00D5526B">
        <w:rPr>
          <w:rFonts w:ascii="Times New Roman" w:hAnsi="Times New Roman"/>
          <w:sz w:val="20"/>
        </w:rPr>
        <w:t>ovinos.</w:t>
      </w:r>
    </w:p>
    <w:p w14:paraId="01ADC278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Número Cadastro </w:t>
      </w:r>
      <w:proofErr w:type="spellStart"/>
      <w:r w:rsidRPr="00D5526B">
        <w:rPr>
          <w:rFonts w:ascii="Times New Roman" w:hAnsi="Times New Roman"/>
          <w:b/>
          <w:bCs/>
          <w:sz w:val="20"/>
        </w:rPr>
        <w:t>SisGen</w:t>
      </w:r>
      <w:proofErr w:type="spellEnd"/>
      <w:r w:rsidRPr="00D5526B">
        <w:rPr>
          <w:rFonts w:ascii="Times New Roman" w:hAnsi="Times New Roman"/>
          <w:b/>
          <w:bCs/>
          <w:sz w:val="20"/>
        </w:rPr>
        <w:t xml:space="preserve">: </w:t>
      </w:r>
      <w:r w:rsidRPr="00D5526B">
        <w:rPr>
          <w:rFonts w:ascii="Times New Roman" w:hAnsi="Times New Roman"/>
          <w:bCs/>
          <w:sz w:val="20"/>
        </w:rPr>
        <w:t>N° A43C096</w:t>
      </w:r>
    </w:p>
    <w:p w14:paraId="020A380F" w14:textId="77777777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D5526B">
        <w:rPr>
          <w:rFonts w:ascii="Times New Roman" w:hAnsi="Times New Roman"/>
          <w:b/>
          <w:sz w:val="20"/>
        </w:rPr>
        <w:t>Comitê de Ética:</w:t>
      </w:r>
      <w:r w:rsidRPr="00D5526B">
        <w:rPr>
          <w:rFonts w:ascii="Times New Roman" w:hAnsi="Times New Roman"/>
          <w:sz w:val="20"/>
        </w:rPr>
        <w:t xml:space="preserve"> 02/2022</w:t>
      </w:r>
    </w:p>
    <w:p w14:paraId="5D154F59" w14:textId="29080670" w:rsidR="00306285" w:rsidRPr="00D5526B" w:rsidRDefault="00306285" w:rsidP="0083767E">
      <w:pPr>
        <w:pStyle w:val="Corpodetexto"/>
        <w:spacing w:line="240" w:lineRule="auto"/>
        <w:rPr>
          <w:rFonts w:ascii="Times New Roman" w:hAnsi="Times New Roman"/>
          <w:bCs/>
          <w:sz w:val="20"/>
        </w:rPr>
      </w:pPr>
      <w:r w:rsidRPr="00D5526B">
        <w:rPr>
          <w:rFonts w:ascii="Times New Roman" w:hAnsi="Times New Roman"/>
          <w:b/>
          <w:bCs/>
          <w:sz w:val="20"/>
        </w:rPr>
        <w:t xml:space="preserve">N. do Processo: </w:t>
      </w:r>
      <w:r w:rsidR="009C25DA" w:rsidRPr="00D5526B">
        <w:rPr>
          <w:rFonts w:ascii="Times New Roman" w:hAnsi="Times New Roman"/>
          <w:bCs/>
          <w:sz w:val="20"/>
        </w:rPr>
        <w:t>FAPESP 2024/19696-0, 2021/02535-5 e 2022/07720-8; PIBIC 163074/2024-0.</w:t>
      </w:r>
    </w:p>
    <w:sectPr w:rsidR="00306285" w:rsidRPr="00D5526B" w:rsidSect="009A7E16">
      <w:headerReference w:type="even" r:id="rId7"/>
      <w:headerReference w:type="default" r:id="rId8"/>
      <w:pgSz w:w="11907" w:h="16840" w:code="9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2F65E" w14:textId="77777777" w:rsidR="00192D92" w:rsidRDefault="00192D92" w:rsidP="009A7E16">
      <w:r>
        <w:separator/>
      </w:r>
    </w:p>
  </w:endnote>
  <w:endnote w:type="continuationSeparator" w:id="0">
    <w:p w14:paraId="262E10B8" w14:textId="77777777" w:rsidR="00192D92" w:rsidRDefault="00192D92" w:rsidP="009A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E6253" w14:textId="77777777" w:rsidR="00192D92" w:rsidRDefault="00192D92" w:rsidP="009A7E16">
      <w:r>
        <w:separator/>
      </w:r>
    </w:p>
  </w:footnote>
  <w:footnote w:type="continuationSeparator" w:id="0">
    <w:p w14:paraId="156EB761" w14:textId="77777777" w:rsidR="00192D92" w:rsidRDefault="00192D92" w:rsidP="009A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6853" w14:textId="77777777" w:rsidR="009C25DA" w:rsidRDefault="009C25DA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separate"/>
    </w:r>
    <w:r>
      <w:rPr>
        <w:rStyle w:val="Nmerodepgina"/>
        <w:rFonts w:eastAsiaTheme="majorEastAsia"/>
        <w:noProof/>
      </w:rPr>
      <w:t>16</w:t>
    </w:r>
    <w:r>
      <w:rPr>
        <w:rStyle w:val="Nmerodepgina"/>
        <w:rFonts w:eastAsiaTheme="majorEastAsia"/>
      </w:rPr>
      <w:fldChar w:fldCharType="end"/>
    </w:r>
  </w:p>
  <w:p w14:paraId="77240B3F" w14:textId="77777777" w:rsidR="009C25DA" w:rsidRDefault="009C25DA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F925" w14:textId="268B7B2B" w:rsidR="009C25DA" w:rsidRPr="00B40B63" w:rsidRDefault="009C25DA">
    <w:pPr>
      <w:pStyle w:val="Cabealho"/>
      <w:ind w:right="360"/>
      <w:jc w:val="center"/>
    </w:pPr>
    <w:r w:rsidRPr="00C678A1">
      <w:rPr>
        <w:color w:val="000000"/>
      </w:rPr>
      <w:t>Anais da 1</w:t>
    </w:r>
    <w:r>
      <w:rPr>
        <w:color w:val="000000"/>
      </w:rPr>
      <w:t>7</w:t>
    </w:r>
    <w:r w:rsidRPr="00C678A1">
      <w:rPr>
        <w:color w:val="000000"/>
        <w:vertAlign w:val="superscript"/>
      </w:rPr>
      <w:t>a</w:t>
    </w:r>
    <w:r w:rsidRPr="00C678A1">
      <w:rPr>
        <w:color w:val="000000"/>
      </w:rPr>
      <w:t xml:space="preserve"> Jornada Científica – Embrapa São Carlos </w:t>
    </w:r>
    <w:r w:rsidRPr="00B40B63">
      <w:t xml:space="preserve">– </w:t>
    </w:r>
    <w:r>
      <w:t>22</w:t>
    </w:r>
    <w:r w:rsidRPr="00B40B63">
      <w:t xml:space="preserve"> de </w:t>
    </w:r>
    <w:r>
      <w:t>agosto</w:t>
    </w:r>
    <w:r w:rsidRPr="00B40B63">
      <w:t xml:space="preserve"> de 202</w:t>
    </w:r>
    <w:r>
      <w:t>5</w:t>
    </w:r>
  </w:p>
  <w:p w14:paraId="6B75D34F" w14:textId="77777777" w:rsidR="009C25DA" w:rsidRDefault="009C25DA">
    <w:pPr>
      <w:pStyle w:val="Cabealho"/>
      <w:ind w:right="360"/>
      <w:jc w:val="center"/>
    </w:pPr>
    <w:r w:rsidRPr="00B31FF2">
      <w:t xml:space="preserve">Embrapa Instrumentação </w:t>
    </w:r>
    <w:r>
      <w:t xml:space="preserve">e Embrapa Pecuária Sudeste </w:t>
    </w:r>
    <w:r w:rsidRPr="00B31FF2">
      <w:t>– São Carlos – SP – Brasil</w:t>
    </w:r>
  </w:p>
  <w:p w14:paraId="223879DC" w14:textId="77777777" w:rsidR="009C25DA" w:rsidRDefault="009C25DA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16"/>
    <w:rsid w:val="00014986"/>
    <w:rsid w:val="00065126"/>
    <w:rsid w:val="00096014"/>
    <w:rsid w:val="000B0359"/>
    <w:rsid w:val="00121FC1"/>
    <w:rsid w:val="00130DF6"/>
    <w:rsid w:val="00172AE3"/>
    <w:rsid w:val="00192D92"/>
    <w:rsid w:val="002A3451"/>
    <w:rsid w:val="002F47F9"/>
    <w:rsid w:val="00306285"/>
    <w:rsid w:val="00337116"/>
    <w:rsid w:val="0036780B"/>
    <w:rsid w:val="003D624A"/>
    <w:rsid w:val="003E7826"/>
    <w:rsid w:val="00504425"/>
    <w:rsid w:val="00507D6B"/>
    <w:rsid w:val="00523EA4"/>
    <w:rsid w:val="00571620"/>
    <w:rsid w:val="00572CD2"/>
    <w:rsid w:val="005A511A"/>
    <w:rsid w:val="005B66AE"/>
    <w:rsid w:val="005C64DA"/>
    <w:rsid w:val="00614365"/>
    <w:rsid w:val="00656076"/>
    <w:rsid w:val="007356E2"/>
    <w:rsid w:val="00762DA1"/>
    <w:rsid w:val="00785D16"/>
    <w:rsid w:val="007E41DB"/>
    <w:rsid w:val="0083767E"/>
    <w:rsid w:val="00926B2F"/>
    <w:rsid w:val="00951186"/>
    <w:rsid w:val="00967BC2"/>
    <w:rsid w:val="009A7E16"/>
    <w:rsid w:val="009C25DA"/>
    <w:rsid w:val="00A636F3"/>
    <w:rsid w:val="00A74969"/>
    <w:rsid w:val="00B364B0"/>
    <w:rsid w:val="00B84365"/>
    <w:rsid w:val="00BC33E4"/>
    <w:rsid w:val="00BF7335"/>
    <w:rsid w:val="00C13F3A"/>
    <w:rsid w:val="00CB3464"/>
    <w:rsid w:val="00CC202F"/>
    <w:rsid w:val="00D5526B"/>
    <w:rsid w:val="00E92F98"/>
    <w:rsid w:val="00ED51A6"/>
    <w:rsid w:val="00F3048F"/>
    <w:rsid w:val="00F57354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2A714"/>
  <w15:docId w15:val="{EF543ADB-D693-455D-9E64-2E4E3675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E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A7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7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A7E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A7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A7E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A7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7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A7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A7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A7E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7E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A7E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A7E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A7E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A7E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A7E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A7E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A7E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A7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A7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A7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A7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A7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A7E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A7E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A7E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A7E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A7E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A7E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semiHidden/>
    <w:rsid w:val="009A7E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Nmerodepgina">
    <w:name w:val="page number"/>
    <w:basedOn w:val="Fontepargpadro"/>
    <w:semiHidden/>
    <w:rsid w:val="009A7E16"/>
  </w:style>
  <w:style w:type="paragraph" w:styleId="Corpodetexto">
    <w:name w:val="Body Text"/>
    <w:basedOn w:val="Normal"/>
    <w:link w:val="CorpodetextoChar"/>
    <w:semiHidden/>
    <w:rsid w:val="009A7E16"/>
    <w:pPr>
      <w:spacing w:line="360" w:lineRule="auto"/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9A7E16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9A7E16"/>
  </w:style>
  <w:style w:type="paragraph" w:styleId="Rodap">
    <w:name w:val="footer"/>
    <w:basedOn w:val="Normal"/>
    <w:link w:val="RodapChar"/>
    <w:uiPriority w:val="99"/>
    <w:unhideWhenUsed/>
    <w:rsid w:val="009A7E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7E16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371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37116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67BC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967B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67B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67BC2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7B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7BC2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tevaocamilloc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estevao camillo</dc:creator>
  <cp:lastModifiedBy>estevao camillo</cp:lastModifiedBy>
  <cp:revision>2</cp:revision>
  <dcterms:created xsi:type="dcterms:W3CDTF">2025-07-17T13:02:00Z</dcterms:created>
  <dcterms:modified xsi:type="dcterms:W3CDTF">2025-07-17T13:02:00Z</dcterms:modified>
</cp:coreProperties>
</file>