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Desenvolvimento de sistemas lipídicos nanoestruturados a base de óleos vegetais amazônicos para a incorporação de óleos essenciais e sua aplicação no controle de fungos fitopatogênicos</w:t>
      </w:r>
      <w:r w:rsidDel="00000000" w:rsidR="00000000" w:rsidRPr="00000000">
        <w:rPr>
          <w:rtl w:val="0"/>
        </w:rPr>
      </w:r>
    </w:p>
    <w:p w:rsidR="00000000" w:rsidDel="00000000" w:rsidP="00000000" w:rsidRDefault="00000000" w:rsidRPr="00000000" w14:paraId="00000002">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hd w:fill="ffffff" w:val="clear"/>
        <w:spacing w:after="0" w:line="240"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u w:val="single"/>
          <w:rtl w:val="0"/>
        </w:rPr>
        <w:t xml:space="preserve">Rafaela Marchi</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Vinícius Lemes de Souza Santos</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Lucca Lustri de Felipe</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Fernanda Ramalho Procópio</w:t>
      </w:r>
      <w:r w:rsidDel="00000000" w:rsidR="00000000" w:rsidRPr="00000000">
        <w:rPr>
          <w:rFonts w:ascii="Times New Roman" w:cs="Times New Roman" w:eastAsia="Times New Roman" w:hAnsi="Times New Roman"/>
          <w:vertAlign w:val="superscript"/>
          <w:rtl w:val="0"/>
        </w:rPr>
        <w:t xml:space="preserve">4</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Ramon Peres Brexó</w:t>
      </w:r>
      <w:r w:rsidDel="00000000" w:rsidR="00000000" w:rsidRPr="00000000">
        <w:rPr>
          <w:rFonts w:ascii="Times New Roman" w:cs="Times New Roman" w:eastAsia="Times New Roman" w:hAnsi="Times New Roman"/>
          <w:vertAlign w:val="superscript"/>
          <w:rtl w:val="0"/>
        </w:rPr>
        <w:t xml:space="preserve">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Marcos David Ferreira</w:t>
      </w:r>
      <w:r w:rsidDel="00000000" w:rsidR="00000000" w:rsidRPr="00000000">
        <w:rPr>
          <w:rFonts w:ascii="Times New Roman" w:cs="Times New Roman" w:eastAsia="Times New Roman" w:hAnsi="Times New Roman"/>
          <w:vertAlign w:val="superscript"/>
          <w:rtl w:val="0"/>
        </w:rPr>
        <w:t xml:space="preserve">6</w:t>
      </w:r>
    </w:p>
    <w:p w:rsidR="00000000" w:rsidDel="00000000" w:rsidP="00000000" w:rsidRDefault="00000000" w:rsidRPr="00000000" w14:paraId="00000004">
      <w:pPr>
        <w:shd w:fill="ffffff" w:val="clear"/>
        <w:spacing w:after="0" w:line="240" w:lineRule="auto"/>
        <w:jc w:val="both"/>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Aluna de graduação em Bacharelado em Biotecnologia, Universidade Federal de São Carlos, São Carlos, SP. Bolsista FAPESP, Embrapa Instrumentação, São Carlos, SP; rafaela.marchi@estudante.ufscar.br.</w:t>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Aluno de graduação em Química, Universidade Federal de São Carlos, São Carlos, SP.</w:t>
      </w: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Aluno de graduação em Química, Universidade Estadual Paulista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Julio</w:t>
      </w:r>
      <w:r w:rsidDel="00000000" w:rsidR="00000000" w:rsidRPr="00000000">
        <w:rPr>
          <w:rFonts w:ascii="Times New Roman" w:cs="Times New Roman" w:eastAsia="Times New Roman" w:hAnsi="Times New Roman"/>
          <w:sz w:val="20"/>
          <w:szCs w:val="20"/>
          <w:rtl w:val="0"/>
        </w:rPr>
        <w:t xml:space="preserve"> de Mesquita Filho”, Araraquara, SP.</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4,5</w:t>
      </w:r>
      <w:r w:rsidDel="00000000" w:rsidR="00000000" w:rsidRPr="00000000">
        <w:rPr>
          <w:rFonts w:ascii="Times New Roman" w:cs="Times New Roman" w:eastAsia="Times New Roman" w:hAnsi="Times New Roman"/>
          <w:sz w:val="20"/>
          <w:szCs w:val="20"/>
          <w:rtl w:val="0"/>
        </w:rPr>
        <w:t xml:space="preserve">Bolsista de pós-doutorado da Embrapa Instrumentação, São Carlos, SP.</w:t>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6</w:t>
      </w:r>
      <w:r w:rsidDel="00000000" w:rsidR="00000000" w:rsidRPr="00000000">
        <w:rPr>
          <w:rFonts w:ascii="Times New Roman" w:cs="Times New Roman" w:eastAsia="Times New Roman" w:hAnsi="Times New Roman"/>
          <w:sz w:val="20"/>
          <w:szCs w:val="20"/>
          <w:rtl w:val="0"/>
        </w:rPr>
        <w:t xml:space="preserve">Pesquisador da Embrapa Instrumentação, São Carlos, SP.</w:t>
      </w: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contexto de mudanças climáticas somado ao uso excessivo de agroquímicos vem impactando a produção agrícola de forma negativa, afetando a qualidade e durabilidade de frutas e hortaliças. Diante desse cenário, cresce a busca por alternativas com menor impacto ambiental e que mitiguem as grandes perdas de alimentos. Os óleos essenciais (OE) apresentam-se como potenciais conservantes naturais. Entretanto, sua aplicação ainda é limitada devido à baixa estabilidade e solubilidade, de forma que sua encapsulação pode ser uma ótima alternativa para aplicá-lo, podendo aumentar seu tempo de efeito e torná-lo mais disponível para agir contra os microrganismos. Para </w:t>
      </w:r>
      <w:r w:rsidDel="00000000" w:rsidR="00000000" w:rsidRPr="00000000">
        <w:rPr>
          <w:rFonts w:ascii="Times New Roman" w:cs="Times New Roman" w:eastAsia="Times New Roman" w:hAnsi="Times New Roman"/>
          <w:sz w:val="24"/>
          <w:szCs w:val="24"/>
          <w:rtl w:val="0"/>
        </w:rPr>
        <w:t xml:space="preserve">encapsulá</w:t>
      </w:r>
      <w:r w:rsidDel="00000000" w:rsidR="00000000" w:rsidRPr="00000000">
        <w:rPr>
          <w:rFonts w:ascii="Times New Roman" w:cs="Times New Roman" w:eastAsia="Times New Roman" w:hAnsi="Times New Roman"/>
          <w:sz w:val="24"/>
          <w:szCs w:val="24"/>
          <w:rtl w:val="0"/>
        </w:rPr>
        <w:t xml:space="preserve">-lo, o uso de blends de </w:t>
      </w:r>
      <w:r w:rsidDel="00000000" w:rsidR="00000000" w:rsidRPr="00000000">
        <w:rPr>
          <w:rFonts w:ascii="Times New Roman" w:cs="Times New Roman" w:eastAsia="Times New Roman" w:hAnsi="Times New Roman"/>
          <w:sz w:val="24"/>
          <w:szCs w:val="24"/>
          <w:rtl w:val="0"/>
        </w:rPr>
        <w:t xml:space="preserve">óleos vegetais amazônico</w:t>
      </w:r>
      <w:r w:rsidDel="00000000" w:rsidR="00000000" w:rsidRPr="00000000">
        <w:rPr>
          <w:rFonts w:ascii="Times New Roman" w:cs="Times New Roman" w:eastAsia="Times New Roman" w:hAnsi="Times New Roman"/>
          <w:sz w:val="24"/>
          <w:szCs w:val="24"/>
          <w:rtl w:val="0"/>
        </w:rPr>
        <w:t xml:space="preserve">s para a formulação de nanoemulsões se apresenta como uma </w:t>
      </w:r>
      <w:r w:rsidDel="00000000" w:rsidR="00000000" w:rsidRPr="00000000">
        <w:rPr>
          <w:rFonts w:ascii="Times New Roman" w:cs="Times New Roman" w:eastAsia="Times New Roman" w:hAnsi="Times New Roman"/>
          <w:sz w:val="24"/>
          <w:szCs w:val="24"/>
          <w:rtl w:val="0"/>
        </w:rPr>
        <w:t xml:space="preserve">solução inovadora</w:t>
      </w:r>
      <w:r w:rsidDel="00000000" w:rsidR="00000000" w:rsidRPr="00000000">
        <w:rPr>
          <w:rFonts w:ascii="Times New Roman" w:cs="Times New Roman" w:eastAsia="Times New Roman" w:hAnsi="Times New Roman"/>
          <w:sz w:val="24"/>
          <w:szCs w:val="24"/>
          <w:rtl w:val="0"/>
        </w:rPr>
        <w:t xml:space="preserve">, afinal a aplicação dessas matrizes lipídicas em alimentos ainda é pouco explorada. Além disso, a associação de diferentes gorduras pode criar imperfeições na parede da partícula, gerando grande potencial encapsulant</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Nesse contexto, o OE de cravo foi encapsulado em nanoemulsões contendo Ucuúba-Bacuri (UcB) e Ucuúba-Copaíba (UcC). </w:t>
      </w:r>
      <w:r w:rsidDel="00000000" w:rsidR="00000000" w:rsidRPr="00000000">
        <w:rPr>
          <w:rFonts w:ascii="Times New Roman" w:cs="Times New Roman" w:eastAsia="Times New Roman" w:hAnsi="Times New Roman"/>
          <w:sz w:val="24"/>
          <w:szCs w:val="24"/>
          <w:rtl w:val="0"/>
        </w:rPr>
        <w:t xml:space="preserve">Inicialmente, as gorduras </w:t>
      </w:r>
      <w:r w:rsidDel="00000000" w:rsidR="00000000" w:rsidRPr="00000000">
        <w:rPr>
          <w:rFonts w:ascii="Times New Roman" w:cs="Times New Roman" w:eastAsia="Times New Roman" w:hAnsi="Times New Roman"/>
          <w:sz w:val="24"/>
          <w:szCs w:val="24"/>
          <w:rtl w:val="0"/>
        </w:rPr>
        <w:t xml:space="preserve">foram caracterizadas em relação à composição lipídica e </w:t>
      </w:r>
      <w:r w:rsidDel="00000000" w:rsidR="00000000" w:rsidRPr="00000000">
        <w:rPr>
          <w:rFonts w:ascii="Times New Roman" w:cs="Times New Roman" w:eastAsia="Times New Roman" w:hAnsi="Times New Roman"/>
          <w:sz w:val="24"/>
          <w:szCs w:val="24"/>
          <w:rtl w:val="0"/>
        </w:rPr>
        <w:t xml:space="preserve">calorimetria diferencial de varredura</w:t>
      </w:r>
      <w:r w:rsidDel="00000000" w:rsidR="00000000" w:rsidRPr="00000000">
        <w:rPr>
          <w:rFonts w:ascii="Times New Roman" w:cs="Times New Roman" w:eastAsia="Times New Roman" w:hAnsi="Times New Roman"/>
          <w:sz w:val="24"/>
          <w:szCs w:val="24"/>
          <w:rtl w:val="0"/>
        </w:rPr>
        <w:t xml:space="preserve"> (DSC). Para o preparo das emulsões, o método de inversão de fase foi empregado, utilizando Tween 80 como emulsificante. As nanoemulsões foram caracterizadas por meio do teste de estabilidade na proveta, microscopia óptica, análise dinâmica da luz (DLS) e potencial zeta, sendo feitas todas as análises imediatamente após o preparo e após 24 horas. </w:t>
      </w:r>
      <w:r w:rsidDel="00000000" w:rsidR="00000000" w:rsidRPr="00000000">
        <w:rPr>
          <w:rFonts w:ascii="Times New Roman" w:cs="Times New Roman" w:eastAsia="Times New Roman" w:hAnsi="Times New Roman"/>
          <w:sz w:val="24"/>
          <w:szCs w:val="24"/>
          <w:rtl w:val="0"/>
        </w:rPr>
        <w:t xml:space="preserve">A análise de comportamento térmico (DSC) revelou que a ucuúba tem um alto ponto de fusão, o que a torna excelente para ser a gordura de maior proporção para o blend, conferindo maior estabilidade ao sistema. As formulações UcB e UcC sem OE apresentaram,</w:t>
      </w:r>
      <w:r w:rsidDel="00000000" w:rsidR="00000000" w:rsidRPr="00000000">
        <w:rPr>
          <w:rFonts w:ascii="Times New Roman" w:cs="Times New Roman" w:eastAsia="Times New Roman" w:hAnsi="Times New Roman"/>
          <w:sz w:val="24"/>
          <w:szCs w:val="24"/>
          <w:rtl w:val="0"/>
        </w:rPr>
        <w:t xml:space="preserve"> respectivamente</w:t>
      </w:r>
      <w:r w:rsidDel="00000000" w:rsidR="00000000" w:rsidRPr="00000000">
        <w:rPr>
          <w:rFonts w:ascii="Times New Roman" w:cs="Times New Roman" w:eastAsia="Times New Roman" w:hAnsi="Times New Roman"/>
          <w:sz w:val="24"/>
          <w:szCs w:val="24"/>
          <w:rtl w:val="0"/>
        </w:rPr>
        <w:t xml:space="preserve">, o tamanho médio de partícula por volta de 421 nm e 253 nm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 um potencial zeta próximo de -37,48 e -39,70 mV, na mesma ordem. Com a adição do OE de cravo ao sistema, as nanoemulsões permaneceram estáveis e com características semelhantes, com valores médios de partícula de 412 nm (UcB) e 245 nm (UcC) e potencial zeta de -40 mV e -38 mV, respectivamente. </w:t>
      </w:r>
      <w:r w:rsidDel="00000000" w:rsidR="00000000" w:rsidRPr="00000000">
        <w:rPr>
          <w:rFonts w:ascii="Times New Roman" w:cs="Times New Roman" w:eastAsia="Times New Roman" w:hAnsi="Times New Roman"/>
          <w:sz w:val="24"/>
          <w:szCs w:val="24"/>
          <w:rtl w:val="0"/>
        </w:rPr>
        <w:t xml:space="preserve">Tais resultados trazem boas perspectivas de aplicação das nanoemulsões, que terão seu potencial antifúngico avaliado </w:t>
      </w:r>
      <w:r w:rsidDel="00000000" w:rsidR="00000000" w:rsidRPr="00000000">
        <w:rPr>
          <w:rFonts w:ascii="Times New Roman" w:cs="Times New Roman" w:eastAsia="Times New Roman" w:hAnsi="Times New Roman"/>
          <w:i w:val="1"/>
          <w:sz w:val="24"/>
          <w:szCs w:val="24"/>
          <w:rtl w:val="0"/>
        </w:rPr>
        <w:t xml:space="preserve">in vitro</w:t>
      </w:r>
      <w:r w:rsidDel="00000000" w:rsidR="00000000" w:rsidRPr="00000000">
        <w:rPr>
          <w:rFonts w:ascii="Times New Roman" w:cs="Times New Roman" w:eastAsia="Times New Roman" w:hAnsi="Times New Roman"/>
          <w:sz w:val="24"/>
          <w:szCs w:val="24"/>
          <w:rtl w:val="0"/>
        </w:rPr>
        <w:t xml:space="preserve">, visando sua</w:t>
      </w:r>
      <w:r w:rsidDel="00000000" w:rsidR="00000000" w:rsidRPr="00000000">
        <w:rPr>
          <w:rFonts w:ascii="Times New Roman" w:cs="Times New Roman" w:eastAsia="Times New Roman" w:hAnsi="Times New Roman"/>
          <w:sz w:val="24"/>
          <w:szCs w:val="24"/>
          <w:rtl w:val="0"/>
        </w:rPr>
        <w:t xml:space="preserve"> aplicação no revestimento de frutos, para aumentar seu tempo de prateleira e reduzir o desperdício.</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0"/>
          <w:szCs w:val="20"/>
          <w:shd w:fill="ead1dc" w:val="clear"/>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br w:type="textWrapping"/>
      </w:r>
    </w:p>
    <w:p w:rsidR="00000000" w:rsidDel="00000000" w:rsidP="00000000" w:rsidRDefault="00000000" w:rsidRPr="00000000" w14:paraId="000000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Apoio financeiro:</w:t>
      </w:r>
      <w:r w:rsidDel="00000000" w:rsidR="00000000" w:rsidRPr="00000000">
        <w:rPr>
          <w:rFonts w:ascii="Times New Roman" w:cs="Times New Roman" w:eastAsia="Times New Roman" w:hAnsi="Times New Roman"/>
          <w:sz w:val="20"/>
          <w:szCs w:val="20"/>
          <w:rtl w:val="0"/>
        </w:rPr>
        <w:t xml:space="preserve"> Fundação de Amparo à Pesquisa do Estado de São Paulo (FAPESP).</w:t>
      </w:r>
    </w:p>
    <w:p w:rsidR="00000000" w:rsidDel="00000000" w:rsidP="00000000" w:rsidRDefault="00000000" w:rsidRPr="00000000" w14:paraId="000000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Área:</w:t>
      </w:r>
      <w:r w:rsidDel="00000000" w:rsidR="00000000" w:rsidRPr="00000000">
        <w:rPr>
          <w:rFonts w:ascii="Times New Roman" w:cs="Times New Roman" w:eastAsia="Times New Roman" w:hAnsi="Times New Roman"/>
          <w:sz w:val="20"/>
          <w:szCs w:val="20"/>
          <w:rtl w:val="0"/>
        </w:rPr>
        <w:t xml:space="preserve"> Ciências Agrárias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Palavras-chave: </w:t>
      </w:r>
      <w:r w:rsidDel="00000000" w:rsidR="00000000" w:rsidRPr="00000000">
        <w:rPr>
          <w:rFonts w:ascii="Times New Roman" w:cs="Times New Roman" w:eastAsia="Times New Roman" w:hAnsi="Times New Roman"/>
          <w:sz w:val="20"/>
          <w:szCs w:val="20"/>
          <w:rtl w:val="0"/>
        </w:rPr>
        <w:t xml:space="preserve">Revestimentos comestíveis, compostos bioativos, nanotecnologia, sistemas lipídicos, extratos naturais.</w:t>
      </w:r>
      <w:r w:rsidDel="00000000" w:rsidR="00000000" w:rsidRPr="00000000">
        <w:rPr>
          <w:rtl w:val="0"/>
        </w:rPr>
      </w:r>
    </w:p>
    <w:sectPr>
      <w:headerReference r:id="rId6" w:type="default"/>
      <w:pgSz w:h="16834" w:w="11909" w:orient="portrait"/>
      <w:pgMar w:bottom="1417.3228346456694" w:top="1700.7874015748032" w:left="1417.3228346456694" w:right="1417.3228346456694" w:header="720" w:footer="720"/>
      <w:lnNumType w:countBy="1" w:start="0" w:restart="newPage"/>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tabs>
        <w:tab w:val="center" w:leader="none" w:pos="4252"/>
        <w:tab w:val="right" w:leader="none" w:pos="8504"/>
      </w:tabs>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Resumo da 17ª Jornada Científica – Embrapa São Carlos – 22 de agosto de 2025</w:t>
    </w:r>
  </w:p>
  <w:p w:rsidR="00000000" w:rsidDel="00000000" w:rsidP="00000000" w:rsidRDefault="00000000" w:rsidRPr="00000000" w14:paraId="00000013">
    <w:pPr>
      <w:pBdr>
        <w:bottom w:color="000000" w:space="1" w:sz="4" w:val="single"/>
      </w:pBdr>
      <w:tabs>
        <w:tab w:val="center" w:leader="none" w:pos="4252"/>
        <w:tab w:val="right" w:leader="none" w:pos="8504"/>
      </w:tabs>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Embrapa Instrumentação – São Carlos, SP - Brasil</w:t>
    </w:r>
  </w:p>
  <w:p w:rsidR="00000000" w:rsidDel="00000000" w:rsidP="00000000" w:rsidRDefault="00000000" w:rsidRPr="00000000" w14:paraId="000000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