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8B869" w14:textId="56BDED71" w:rsidR="002C0BD5" w:rsidRDefault="0040698C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 w:rsidRPr="0040698C">
        <w:rPr>
          <w:rFonts w:ascii="Times New Roman" w:hAnsi="Times New Roman" w:cs="Times New Roman"/>
          <w:b/>
          <w:bCs/>
          <w:snapToGrid w:val="0"/>
          <w:sz w:val="28"/>
        </w:rPr>
        <w:t xml:space="preserve">Avaliação da compatibilidade de óleos essenciais a </w:t>
      </w:r>
      <w:r w:rsidRPr="0040698C">
        <w:rPr>
          <w:rFonts w:ascii="Times New Roman" w:hAnsi="Times New Roman" w:cs="Times New Roman"/>
          <w:b/>
          <w:bCs/>
          <w:i/>
          <w:iCs/>
          <w:snapToGrid w:val="0"/>
          <w:sz w:val="28"/>
        </w:rPr>
        <w:t>Trichoderma</w:t>
      </w:r>
      <w:r w:rsidRPr="0040698C">
        <w:rPr>
          <w:rFonts w:ascii="Times New Roman" w:hAnsi="Times New Roman" w:cs="Times New Roman"/>
          <w:b/>
          <w:bCs/>
          <w:snapToGrid w:val="0"/>
          <w:sz w:val="28"/>
        </w:rPr>
        <w:t xml:space="preserve"> sp. em antagonismo contra fitopatógenos</w:t>
      </w:r>
    </w:p>
    <w:p w14:paraId="08D76538" w14:textId="77777777"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4A52DD59" w14:textId="42A67CBF" w:rsidR="00F61E4E" w:rsidRPr="002E0A8D" w:rsidRDefault="0040698C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 w:rsidRPr="0040698C">
        <w:rPr>
          <w:rFonts w:ascii="Times New Roman" w:hAnsi="Times New Roman" w:cs="Times New Roman"/>
          <w:snapToGrid w:val="0"/>
          <w:sz w:val="22"/>
          <w:szCs w:val="22"/>
          <w:u w:val="single"/>
        </w:rPr>
        <w:t>Érika Costa Bretones Mora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Pr="0040698C">
        <w:rPr>
          <w:rFonts w:ascii="Times New Roman" w:hAnsi="Times New Roman" w:cs="Times New Roman"/>
          <w:snapToGrid w:val="0"/>
          <w:sz w:val="22"/>
          <w:szCs w:val="22"/>
        </w:rPr>
        <w:t>Sônia Regina Nogueira Stephan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</w:p>
    <w:p w14:paraId="68028E86" w14:textId="77777777"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39E797B6" w14:textId="63F4A760" w:rsidR="0040698C" w:rsidRPr="0040698C" w:rsidRDefault="00F61E4E" w:rsidP="0040698C">
      <w:pPr>
        <w:jc w:val="center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40698C" w:rsidRPr="0040698C">
        <w:rPr>
          <w:rFonts w:ascii="Times New Roman" w:hAnsi="Times New Roman" w:cs="Times New Roman"/>
          <w:snapToGrid w:val="0"/>
          <w:sz w:val="20"/>
          <w:szCs w:val="20"/>
        </w:rPr>
        <w:t>Aluna de graduação em Biotecnologia, Universidade Federal de São Carlos, São Carlos, SP. Bolsista</w:t>
      </w:r>
    </w:p>
    <w:p w14:paraId="452299CC" w14:textId="04B3F32B" w:rsidR="00F61E4E" w:rsidRPr="002E0A8D" w:rsidRDefault="0040698C" w:rsidP="0040698C">
      <w:pPr>
        <w:jc w:val="center"/>
        <w:rPr>
          <w:rFonts w:ascii="Times New Roman" w:hAnsi="Times New Roman" w:cs="Times New Roman"/>
          <w:snapToGrid w:val="0"/>
          <w:sz w:val="20"/>
          <w:szCs w:val="20"/>
        </w:rPr>
      </w:pPr>
      <w:r w:rsidRPr="0040698C">
        <w:rPr>
          <w:rFonts w:ascii="Times New Roman" w:hAnsi="Times New Roman" w:cs="Times New Roman"/>
          <w:snapToGrid w:val="0"/>
          <w:sz w:val="20"/>
          <w:szCs w:val="20"/>
        </w:rPr>
        <w:t>PIBIC/CNPq, Embrapa Pecuária Sudeste, São Carlos, SP; erikabretones@estudante.ufscar.br.</w:t>
      </w:r>
    </w:p>
    <w:p w14:paraId="607A8990" w14:textId="11111156" w:rsidR="00F61E4E" w:rsidRPr="0040698C" w:rsidRDefault="00F61E4E" w:rsidP="0040698C">
      <w:pPr>
        <w:jc w:val="center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="0040698C" w:rsidRPr="0040698C">
        <w:rPr>
          <w:rFonts w:ascii="Times New Roman" w:hAnsi="Times New Roman" w:cs="Times New Roman"/>
          <w:snapToGrid w:val="0"/>
          <w:sz w:val="20"/>
          <w:szCs w:val="20"/>
        </w:rPr>
        <w:t>Pesquisadora da Embrapa Pecuária Sudeste, São Carlos, SP.</w:t>
      </w:r>
    </w:p>
    <w:p w14:paraId="57FC3519" w14:textId="77777777"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14:paraId="018DED7B" w14:textId="3D0690AC" w:rsidR="00F61E4E" w:rsidRPr="00F61E4E" w:rsidRDefault="0040698C" w:rsidP="00F61E4E">
      <w:pPr>
        <w:pStyle w:val="Corpodetexto"/>
        <w:spacing w:line="240" w:lineRule="auto"/>
        <w:rPr>
          <w:rFonts w:ascii="Times New Roman" w:hAnsi="Times New Roman"/>
          <w:snapToGrid w:val="0"/>
        </w:rPr>
      </w:pPr>
      <w:r w:rsidRPr="0040698C">
        <w:rPr>
          <w:rFonts w:ascii="Times New Roman" w:hAnsi="Times New Roman"/>
          <w:snapToGrid w:val="0"/>
        </w:rPr>
        <w:t>A oliveira (</w:t>
      </w:r>
      <w:r w:rsidRPr="0040698C">
        <w:rPr>
          <w:rFonts w:ascii="Times New Roman" w:hAnsi="Times New Roman"/>
          <w:i/>
          <w:iCs/>
          <w:snapToGrid w:val="0"/>
        </w:rPr>
        <w:t>Olea europaea</w:t>
      </w:r>
      <w:r w:rsidRPr="0040698C">
        <w:rPr>
          <w:rFonts w:ascii="Times New Roman" w:hAnsi="Times New Roman"/>
          <w:snapToGrid w:val="0"/>
        </w:rPr>
        <w:t xml:space="preserve"> L.) foi introduzida no Brasil há mais de dois séculos e enfrenta desafios fitossanitários, como a fusariose, causada por fungos do gênero </w:t>
      </w:r>
      <w:r w:rsidRPr="0040698C">
        <w:rPr>
          <w:rFonts w:ascii="Times New Roman" w:hAnsi="Times New Roman"/>
          <w:i/>
          <w:iCs/>
          <w:snapToGrid w:val="0"/>
        </w:rPr>
        <w:t>Fusarium</w:t>
      </w:r>
      <w:r w:rsidRPr="0040698C">
        <w:rPr>
          <w:rFonts w:ascii="Times New Roman" w:hAnsi="Times New Roman"/>
          <w:snapToGrid w:val="0"/>
        </w:rPr>
        <w:t xml:space="preserve">, que provoca escurecimento vascular, necrose de raízes e seca da parte aérea. O manejo convencional inclui eliminação de plantas doentes e uso de mudas sadias, mas possui limitações. Como alternativa, destaca-se o controle biológico com fungos do gênero </w:t>
      </w:r>
      <w:r w:rsidRPr="0040698C">
        <w:rPr>
          <w:rFonts w:ascii="Times New Roman" w:hAnsi="Times New Roman"/>
          <w:i/>
          <w:iCs/>
          <w:snapToGrid w:val="0"/>
        </w:rPr>
        <w:t>Trichoderma</w:t>
      </w:r>
      <w:r w:rsidRPr="0040698C">
        <w:rPr>
          <w:rFonts w:ascii="Times New Roman" w:hAnsi="Times New Roman"/>
          <w:snapToGrid w:val="0"/>
        </w:rPr>
        <w:t xml:space="preserve">, devido ao seu antagonismo a fitopatógenos. Associados a este fungo, óleos essenciais também são estudados por suas propriedades antifúngicas e baixa toxicidade. Este trabalho avaliou os efeitos de óleos essenciais sobre isolados dos gêneros </w:t>
      </w:r>
      <w:r w:rsidRPr="0040698C">
        <w:rPr>
          <w:rFonts w:ascii="Times New Roman" w:hAnsi="Times New Roman"/>
          <w:i/>
          <w:iCs/>
          <w:snapToGrid w:val="0"/>
        </w:rPr>
        <w:t>Trichoderma</w:t>
      </w:r>
      <w:r w:rsidRPr="0040698C">
        <w:rPr>
          <w:rFonts w:ascii="Times New Roman" w:hAnsi="Times New Roman"/>
          <w:snapToGrid w:val="0"/>
        </w:rPr>
        <w:t xml:space="preserve"> (CMO 16, CMO 48 e T221A) e </w:t>
      </w:r>
      <w:r w:rsidRPr="0040698C">
        <w:rPr>
          <w:rFonts w:ascii="Times New Roman" w:hAnsi="Times New Roman"/>
          <w:i/>
          <w:iCs/>
          <w:snapToGrid w:val="0"/>
        </w:rPr>
        <w:t>Fusarium</w:t>
      </w:r>
      <w:r w:rsidRPr="0040698C">
        <w:rPr>
          <w:rFonts w:ascii="Times New Roman" w:hAnsi="Times New Roman"/>
          <w:snapToGrid w:val="0"/>
        </w:rPr>
        <w:t xml:space="preserve"> (FUS 1 e FUS 2), individualmente e em associação, investigando seu potencial como estratégia complementar no controle da fusariose em oliveiras. Foram testados sete óleos essenciais: Palmarosa (</w:t>
      </w:r>
      <w:r w:rsidRPr="0040698C">
        <w:rPr>
          <w:rFonts w:ascii="Times New Roman" w:hAnsi="Times New Roman"/>
          <w:i/>
          <w:iCs/>
          <w:snapToGrid w:val="0"/>
        </w:rPr>
        <w:t>Cymbopogon martinii</w:t>
      </w:r>
      <w:r w:rsidRPr="0040698C">
        <w:rPr>
          <w:rFonts w:ascii="Times New Roman" w:hAnsi="Times New Roman"/>
          <w:snapToGrid w:val="0"/>
        </w:rPr>
        <w:t>), Cravo Folha (</w:t>
      </w:r>
      <w:r w:rsidRPr="0040698C">
        <w:rPr>
          <w:rFonts w:ascii="Times New Roman" w:hAnsi="Times New Roman"/>
          <w:i/>
          <w:iCs/>
          <w:snapToGrid w:val="0"/>
        </w:rPr>
        <w:t>Syzygium aromaticum</w:t>
      </w:r>
      <w:r w:rsidRPr="0040698C">
        <w:rPr>
          <w:rFonts w:ascii="Times New Roman" w:hAnsi="Times New Roman"/>
          <w:snapToGrid w:val="0"/>
        </w:rPr>
        <w:t>), Orégano (</w:t>
      </w:r>
      <w:r w:rsidRPr="0040698C">
        <w:rPr>
          <w:rFonts w:ascii="Times New Roman" w:hAnsi="Times New Roman"/>
          <w:i/>
          <w:iCs/>
          <w:snapToGrid w:val="0"/>
        </w:rPr>
        <w:t>Origanum vulgare</w:t>
      </w:r>
      <w:r w:rsidRPr="0040698C">
        <w:rPr>
          <w:rFonts w:ascii="Times New Roman" w:hAnsi="Times New Roman"/>
          <w:snapToGrid w:val="0"/>
        </w:rPr>
        <w:t>), Capim-cidreira (</w:t>
      </w:r>
      <w:r w:rsidRPr="0040698C">
        <w:rPr>
          <w:rFonts w:ascii="Times New Roman" w:hAnsi="Times New Roman"/>
          <w:i/>
          <w:iCs/>
          <w:snapToGrid w:val="0"/>
        </w:rPr>
        <w:t>Cymbopogon citratus</w:t>
      </w:r>
      <w:r w:rsidRPr="0040698C">
        <w:rPr>
          <w:rFonts w:ascii="Times New Roman" w:hAnsi="Times New Roman"/>
          <w:snapToGrid w:val="0"/>
        </w:rPr>
        <w:t>), Hortelã (</w:t>
      </w:r>
      <w:r w:rsidRPr="0040698C">
        <w:rPr>
          <w:rFonts w:ascii="Times New Roman" w:hAnsi="Times New Roman"/>
          <w:i/>
          <w:iCs/>
          <w:snapToGrid w:val="0"/>
        </w:rPr>
        <w:t>Mentha</w:t>
      </w:r>
      <w:r w:rsidRPr="0040698C">
        <w:rPr>
          <w:rFonts w:ascii="Times New Roman" w:hAnsi="Times New Roman"/>
          <w:snapToGrid w:val="0"/>
        </w:rPr>
        <w:t xml:space="preserve"> sp.), Hortelã-pimenta (</w:t>
      </w:r>
      <w:r w:rsidRPr="0040698C">
        <w:rPr>
          <w:rFonts w:ascii="Times New Roman" w:hAnsi="Times New Roman"/>
          <w:i/>
          <w:iCs/>
          <w:snapToGrid w:val="0"/>
        </w:rPr>
        <w:t>Mentha × piperita</w:t>
      </w:r>
      <w:r w:rsidRPr="0040698C">
        <w:rPr>
          <w:rFonts w:ascii="Times New Roman" w:hAnsi="Times New Roman"/>
          <w:snapToGrid w:val="0"/>
        </w:rPr>
        <w:t xml:space="preserve">) e </w:t>
      </w:r>
      <w:r w:rsidRPr="0040698C">
        <w:rPr>
          <w:rFonts w:ascii="Times New Roman" w:hAnsi="Times New Roman"/>
          <w:i/>
          <w:iCs/>
          <w:snapToGrid w:val="0"/>
        </w:rPr>
        <w:t>Piper aduncum</w:t>
      </w:r>
      <w:r w:rsidRPr="0040698C">
        <w:rPr>
          <w:rFonts w:ascii="Times New Roman" w:hAnsi="Times New Roman"/>
          <w:snapToGrid w:val="0"/>
        </w:rPr>
        <w:t xml:space="preserve"> L. (Piper), incorporados ao meio </w:t>
      </w:r>
      <w:r w:rsidR="00EA7BC5" w:rsidRPr="00EA7BC5">
        <w:rPr>
          <w:rFonts w:ascii="Times New Roman" w:hAnsi="Times New Roman"/>
          <w:snapToGrid w:val="0"/>
        </w:rPr>
        <w:t>ágar batata-dextrose</w:t>
      </w:r>
      <w:r w:rsidR="00EA7BC5">
        <w:rPr>
          <w:rFonts w:ascii="Times New Roman" w:hAnsi="Times New Roman"/>
          <w:snapToGrid w:val="0"/>
        </w:rPr>
        <w:t xml:space="preserve"> (</w:t>
      </w:r>
      <w:r w:rsidRPr="0040698C">
        <w:rPr>
          <w:rFonts w:ascii="Times New Roman" w:hAnsi="Times New Roman"/>
          <w:snapToGrid w:val="0"/>
        </w:rPr>
        <w:t>PDA</w:t>
      </w:r>
      <w:r w:rsidR="00EA7BC5">
        <w:rPr>
          <w:rFonts w:ascii="Times New Roman" w:hAnsi="Times New Roman"/>
          <w:snapToGrid w:val="0"/>
        </w:rPr>
        <w:t>)</w:t>
      </w:r>
      <w:r w:rsidRPr="0040698C">
        <w:rPr>
          <w:rFonts w:ascii="Times New Roman" w:hAnsi="Times New Roman"/>
          <w:snapToGrid w:val="0"/>
        </w:rPr>
        <w:t xml:space="preserve"> em seis concentrações (6,25; 12,5; 25; 50; 75 e 100 μL/</w:t>
      </w:r>
      <w:r w:rsidR="00EA7BC5">
        <w:rPr>
          <w:rFonts w:ascii="Times New Roman" w:hAnsi="Times New Roman"/>
          <w:snapToGrid w:val="0"/>
        </w:rPr>
        <w:t>mL</w:t>
      </w:r>
      <w:r w:rsidRPr="0040698C">
        <w:rPr>
          <w:rFonts w:ascii="Times New Roman" w:hAnsi="Times New Roman"/>
          <w:snapToGrid w:val="0"/>
        </w:rPr>
        <w:t xml:space="preserve">), com ensaios em triplicata. Discos de 1 cm foram repicados no centro de placas com meio com óleo e controle. Nos testes de antagonismo, discos de </w:t>
      </w:r>
      <w:r w:rsidRPr="0040698C">
        <w:rPr>
          <w:rFonts w:ascii="Times New Roman" w:hAnsi="Times New Roman"/>
          <w:i/>
          <w:iCs/>
          <w:snapToGrid w:val="0"/>
        </w:rPr>
        <w:t>Trichoderma</w:t>
      </w:r>
      <w:r w:rsidRPr="0040698C">
        <w:rPr>
          <w:rFonts w:ascii="Times New Roman" w:hAnsi="Times New Roman"/>
          <w:snapToGrid w:val="0"/>
        </w:rPr>
        <w:t xml:space="preserve"> e </w:t>
      </w:r>
      <w:r w:rsidRPr="0040698C">
        <w:rPr>
          <w:rFonts w:ascii="Times New Roman" w:hAnsi="Times New Roman"/>
          <w:i/>
          <w:iCs/>
          <w:snapToGrid w:val="0"/>
        </w:rPr>
        <w:t>Fusarium</w:t>
      </w:r>
      <w:r w:rsidRPr="0040698C">
        <w:rPr>
          <w:rFonts w:ascii="Times New Roman" w:hAnsi="Times New Roman"/>
          <w:snapToGrid w:val="0"/>
        </w:rPr>
        <w:t xml:space="preserve"> foram posicionados em lados opostos das placas. O crescimento foi medido aos 2, 4 e 7 dias, e o antagonismo avaliado no 7º dia, em escala de 0 (sem crescimento) a 5 (crescimento total do fitopatógeno). Culturas foram incubadas a 25 °C, com fotoperíodo de 12h. Os dados foram analisados por análise de variância (ANOVA) e mapas de calor (heatmaps). Os três isolados de </w:t>
      </w:r>
      <w:r w:rsidRPr="0040698C">
        <w:rPr>
          <w:rFonts w:ascii="Times New Roman" w:hAnsi="Times New Roman"/>
          <w:i/>
          <w:iCs/>
          <w:snapToGrid w:val="0"/>
        </w:rPr>
        <w:t>Trichoderma</w:t>
      </w:r>
      <w:r w:rsidRPr="0040698C">
        <w:rPr>
          <w:rFonts w:ascii="Times New Roman" w:hAnsi="Times New Roman"/>
          <w:snapToGrid w:val="0"/>
        </w:rPr>
        <w:t xml:space="preserve"> mostraram alta tolerância à maioria dos óleos, com máximo crescimento nos óleos de capim-cidreira, hortelã e hortelã-pimenta. </w:t>
      </w:r>
      <w:r w:rsidRPr="0040698C">
        <w:rPr>
          <w:rFonts w:ascii="Times New Roman" w:hAnsi="Times New Roman"/>
          <w:i/>
          <w:iCs/>
          <w:snapToGrid w:val="0"/>
        </w:rPr>
        <w:t>Fusarium</w:t>
      </w:r>
      <w:r w:rsidRPr="0040698C">
        <w:rPr>
          <w:rFonts w:ascii="Times New Roman" w:hAnsi="Times New Roman"/>
          <w:snapToGrid w:val="0"/>
        </w:rPr>
        <w:t xml:space="preserve"> foi significativamente inibido, sobretudo pelos óleos de cravo folha e orégano em altas concentrações. A combinação de </w:t>
      </w:r>
      <w:r w:rsidRPr="0040698C">
        <w:rPr>
          <w:rFonts w:ascii="Times New Roman" w:hAnsi="Times New Roman"/>
          <w:i/>
          <w:iCs/>
          <w:snapToGrid w:val="0"/>
        </w:rPr>
        <w:t>Trichoderma</w:t>
      </w:r>
      <w:r w:rsidRPr="0040698C">
        <w:rPr>
          <w:rFonts w:ascii="Times New Roman" w:hAnsi="Times New Roman"/>
          <w:snapToGrid w:val="0"/>
        </w:rPr>
        <w:t xml:space="preserve"> com óleos essenciais intensificou a supressão de </w:t>
      </w:r>
      <w:r w:rsidRPr="0040698C">
        <w:rPr>
          <w:rFonts w:ascii="Times New Roman" w:hAnsi="Times New Roman"/>
          <w:i/>
          <w:iCs/>
          <w:snapToGrid w:val="0"/>
        </w:rPr>
        <w:t>Fusarium</w:t>
      </w:r>
      <w:r w:rsidRPr="0040698C">
        <w:rPr>
          <w:rFonts w:ascii="Times New Roman" w:hAnsi="Times New Roman"/>
          <w:snapToGrid w:val="0"/>
        </w:rPr>
        <w:t xml:space="preserve">, com poucas classificações acima de 4. Os melhores resultados para o FUS 1 ocorreram nas concentrações 6,25 e 12,5 μL de capim-cidreira, hortelã e hortelã-pimenta para CMO 16, CMO 48 e T221A. Para o FUS 2, destacaram-se capim-cidreira (6,25 μL) para o CMO 16, hortelã-pimenta (12,5 μL) e </w:t>
      </w:r>
      <w:r w:rsidRPr="00B62AE9">
        <w:rPr>
          <w:rFonts w:ascii="Times New Roman" w:hAnsi="Times New Roman"/>
          <w:i/>
          <w:iCs/>
          <w:snapToGrid w:val="0"/>
        </w:rPr>
        <w:t>Piper aduncum</w:t>
      </w:r>
      <w:r w:rsidRPr="0040698C">
        <w:rPr>
          <w:rFonts w:ascii="Times New Roman" w:hAnsi="Times New Roman"/>
          <w:snapToGrid w:val="0"/>
        </w:rPr>
        <w:t xml:space="preserve"> (6,25 μL) para o CMO 48, e capim-cidreira (50 e 75 μL) para o T221A. Conclui-se que a associação entre </w:t>
      </w:r>
      <w:r w:rsidRPr="000F6ABF">
        <w:rPr>
          <w:rFonts w:ascii="Times New Roman" w:hAnsi="Times New Roman"/>
          <w:i/>
          <w:iCs/>
          <w:snapToGrid w:val="0"/>
        </w:rPr>
        <w:t>Trichoderma</w:t>
      </w:r>
      <w:r w:rsidRPr="0040698C">
        <w:rPr>
          <w:rFonts w:ascii="Times New Roman" w:hAnsi="Times New Roman"/>
          <w:snapToGrid w:val="0"/>
        </w:rPr>
        <w:t xml:space="preserve"> e óleos essenciais é uma estratégia eficaz e sustentável para o controle de </w:t>
      </w:r>
      <w:r w:rsidRPr="0040698C">
        <w:rPr>
          <w:rFonts w:ascii="Times New Roman" w:hAnsi="Times New Roman"/>
          <w:i/>
          <w:iCs/>
          <w:snapToGrid w:val="0"/>
        </w:rPr>
        <w:t>Fusarium</w:t>
      </w:r>
      <w:r w:rsidRPr="0040698C">
        <w:rPr>
          <w:rFonts w:ascii="Times New Roman" w:hAnsi="Times New Roman"/>
          <w:snapToGrid w:val="0"/>
        </w:rPr>
        <w:t xml:space="preserve"> na olivicultura.</w:t>
      </w:r>
      <w:r w:rsidR="00F61E4E" w:rsidRPr="00F61E4E">
        <w:rPr>
          <w:rFonts w:ascii="Times New Roman" w:hAnsi="Times New Roman"/>
          <w:snapToGrid w:val="0"/>
        </w:rPr>
        <w:t xml:space="preserve"> </w:t>
      </w:r>
    </w:p>
    <w:p w14:paraId="3CDC42A7" w14:textId="77777777" w:rsidR="00F61E4E" w:rsidRPr="00F61E4E" w:rsidRDefault="00F61E4E" w:rsidP="00F61E4E">
      <w:pPr>
        <w:pStyle w:val="Corpodetexto"/>
        <w:spacing w:line="240" w:lineRule="auto"/>
        <w:jc w:val="left"/>
        <w:rPr>
          <w:rFonts w:ascii="Times New Roman" w:hAnsi="Times New Roman"/>
          <w:snapToGrid w:val="0"/>
        </w:rPr>
      </w:pPr>
    </w:p>
    <w:p w14:paraId="68F5D8A2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14:paraId="3A84AD99" w14:textId="5AD0153D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Pr="00F61E4E">
        <w:rPr>
          <w:rFonts w:ascii="Times New Roman" w:hAnsi="Times New Roman"/>
          <w:sz w:val="20"/>
        </w:rPr>
        <w:t xml:space="preserve"> </w:t>
      </w:r>
      <w:r w:rsidR="0040698C" w:rsidRPr="0040698C">
        <w:rPr>
          <w:rFonts w:ascii="Times New Roman" w:hAnsi="Times New Roman"/>
          <w:sz w:val="20"/>
        </w:rPr>
        <w:t>Embrapa/CNPq</w:t>
      </w:r>
    </w:p>
    <w:p w14:paraId="0F048BE5" w14:textId="6DFE008D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="0040698C" w:rsidRPr="00914DBA">
        <w:rPr>
          <w:rFonts w:ascii="Times New Roman" w:hAnsi="Times New Roman"/>
          <w:bCs/>
          <w:sz w:val="20"/>
        </w:rPr>
        <w:t>Ciências Biológicas, Ciências Agrárias</w:t>
      </w:r>
    </w:p>
    <w:p w14:paraId="3C778458" w14:textId="7FBF079B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 xml:space="preserve">: </w:t>
      </w:r>
      <w:r w:rsidR="00914DBA" w:rsidRPr="00914DBA">
        <w:rPr>
          <w:rFonts w:ascii="Times New Roman" w:hAnsi="Times New Roman"/>
          <w:i/>
          <w:iCs/>
          <w:sz w:val="20"/>
        </w:rPr>
        <w:t>Trichoderma</w:t>
      </w:r>
      <w:r w:rsidR="00914DBA" w:rsidRPr="00914DBA">
        <w:rPr>
          <w:rFonts w:ascii="Times New Roman" w:hAnsi="Times New Roman"/>
          <w:sz w:val="20"/>
        </w:rPr>
        <w:t xml:space="preserve">, </w:t>
      </w:r>
      <w:r w:rsidR="00914DBA" w:rsidRPr="00914DBA">
        <w:rPr>
          <w:rFonts w:ascii="Times New Roman" w:hAnsi="Times New Roman"/>
          <w:i/>
          <w:iCs/>
          <w:sz w:val="20"/>
        </w:rPr>
        <w:t>Fusarium</w:t>
      </w:r>
      <w:r w:rsidR="00914DBA" w:rsidRPr="00914DBA">
        <w:rPr>
          <w:rFonts w:ascii="Times New Roman" w:hAnsi="Times New Roman"/>
          <w:sz w:val="20"/>
        </w:rPr>
        <w:t>, Óleos essenciais, Biocontrole, Olivicultura.</w:t>
      </w:r>
    </w:p>
    <w:p w14:paraId="0B0037C5" w14:textId="257B6FB8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</w:rPr>
      </w:pPr>
      <w:r w:rsidRPr="00F61E4E">
        <w:rPr>
          <w:rFonts w:ascii="Times New Roman" w:hAnsi="Times New Roman"/>
          <w:b/>
          <w:sz w:val="20"/>
        </w:rPr>
        <w:t>N. do Processo PIBIC/</w:t>
      </w:r>
      <w:r w:rsidR="00914DBA">
        <w:rPr>
          <w:rFonts w:ascii="Times New Roman" w:hAnsi="Times New Roman"/>
          <w:b/>
          <w:sz w:val="20"/>
        </w:rPr>
        <w:t>CNPq</w:t>
      </w:r>
      <w:r w:rsidRPr="00F61E4E">
        <w:rPr>
          <w:rFonts w:ascii="Times New Roman" w:hAnsi="Times New Roman"/>
          <w:b/>
          <w:sz w:val="20"/>
        </w:rPr>
        <w:t xml:space="preserve"> </w:t>
      </w:r>
      <w:r w:rsidR="00914DBA" w:rsidRPr="00914DBA">
        <w:rPr>
          <w:rFonts w:ascii="Times New Roman" w:hAnsi="Times New Roman"/>
          <w:sz w:val="20"/>
        </w:rPr>
        <w:t>119177/2024-2</w:t>
      </w:r>
    </w:p>
    <w:sectPr w:rsidR="00F61E4E" w:rsidRPr="00F61E4E" w:rsidSect="00D05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A60B5" w14:textId="77777777" w:rsidR="006E098B" w:rsidRDefault="006E098B" w:rsidP="00E12AB0">
      <w:r>
        <w:separator/>
      </w:r>
    </w:p>
  </w:endnote>
  <w:endnote w:type="continuationSeparator" w:id="0">
    <w:p w14:paraId="01C90F85" w14:textId="77777777" w:rsidR="006E098B" w:rsidRDefault="006E098B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DB1D5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0E64C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C968A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C17FD" w14:textId="77777777" w:rsidR="006E098B" w:rsidRDefault="006E098B" w:rsidP="00E12AB0">
      <w:r>
        <w:separator/>
      </w:r>
    </w:p>
  </w:footnote>
  <w:footnote w:type="continuationSeparator" w:id="0">
    <w:p w14:paraId="4796762E" w14:textId="77777777" w:rsidR="006E098B" w:rsidRDefault="006E098B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AFF75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AD8D9" w14:textId="77777777" w:rsidR="00E12AB0" w:rsidRDefault="00D531A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Resumos</w:t>
    </w:r>
    <w:r w:rsidR="00E12AB0">
      <w:rPr>
        <w:rFonts w:ascii="Times New Roman" w:hAnsi="Times New Roman" w:cs="Times New Roman"/>
        <w:sz w:val="20"/>
        <w:szCs w:val="20"/>
      </w:rPr>
      <w:t xml:space="preserve"> da 1</w:t>
    </w:r>
    <w:r w:rsidR="00940D47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Científica – Embrapa São Carlos – 22 de agosto de 202</w:t>
    </w:r>
    <w:r w:rsidR="00940D47">
      <w:rPr>
        <w:rFonts w:ascii="Times New Roman" w:hAnsi="Times New Roman" w:cs="Times New Roman"/>
        <w:sz w:val="20"/>
        <w:szCs w:val="20"/>
      </w:rPr>
      <w:t>5</w:t>
    </w:r>
  </w:p>
  <w:p w14:paraId="735DDC37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09AAC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63"/>
    <w:rsid w:val="000F6ABF"/>
    <w:rsid w:val="002B6C6D"/>
    <w:rsid w:val="002C0BD5"/>
    <w:rsid w:val="002E0A8D"/>
    <w:rsid w:val="003477EB"/>
    <w:rsid w:val="0040698C"/>
    <w:rsid w:val="00422DD6"/>
    <w:rsid w:val="00484063"/>
    <w:rsid w:val="004946C2"/>
    <w:rsid w:val="005112AA"/>
    <w:rsid w:val="0057319E"/>
    <w:rsid w:val="00631539"/>
    <w:rsid w:val="006D42E4"/>
    <w:rsid w:val="006E098B"/>
    <w:rsid w:val="00716758"/>
    <w:rsid w:val="00785A21"/>
    <w:rsid w:val="008D1B21"/>
    <w:rsid w:val="00914DBA"/>
    <w:rsid w:val="00940D47"/>
    <w:rsid w:val="00B46292"/>
    <w:rsid w:val="00B47FD2"/>
    <w:rsid w:val="00B62AE9"/>
    <w:rsid w:val="00BA55D5"/>
    <w:rsid w:val="00CD0F93"/>
    <w:rsid w:val="00CF7283"/>
    <w:rsid w:val="00D053EE"/>
    <w:rsid w:val="00D11A3C"/>
    <w:rsid w:val="00D531A0"/>
    <w:rsid w:val="00D6751D"/>
    <w:rsid w:val="00E12AB0"/>
    <w:rsid w:val="00EA7BC5"/>
    <w:rsid w:val="00F6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E7730"/>
  <w15:docId w15:val="{15684A7C-8C93-46AC-A5C5-6FDB0FA71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7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81C9AF-8F33-41EE-8676-0C0F6D92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507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Érika Mora</cp:lastModifiedBy>
  <cp:revision>5</cp:revision>
  <dcterms:created xsi:type="dcterms:W3CDTF">2025-07-18T16:50:00Z</dcterms:created>
  <dcterms:modified xsi:type="dcterms:W3CDTF">2025-07-22T16:28:00Z</dcterms:modified>
</cp:coreProperties>
</file>