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rFonts w:ascii="Times New Roman" w:cs="Times New Roman" w:eastAsia="Times New Roman" w:hAnsi="Times New Roman"/>
          <w:b w:val="1"/>
          <w:i w:val="1"/>
          <w:sz w:val="28"/>
          <w:szCs w:val="28"/>
        </w:rPr>
      </w:pPr>
      <w:bookmarkStart w:colFirst="0" w:colLast="0" w:name="_57jww2ic5a8w" w:id="0"/>
      <w:bookmarkEnd w:id="0"/>
      <w:r w:rsidDel="00000000" w:rsidR="00000000" w:rsidRPr="00000000">
        <w:rPr>
          <w:rFonts w:ascii="Times New Roman" w:cs="Times New Roman" w:eastAsia="Times New Roman" w:hAnsi="Times New Roman"/>
          <w:b w:val="1"/>
          <w:sz w:val="28"/>
          <w:szCs w:val="28"/>
          <w:rtl w:val="0"/>
        </w:rPr>
        <w:t xml:space="preserve">Respostas de acessos ao período de seca e retorno das chuvas no Banco Ativo de Germoplasma de </w:t>
      </w:r>
      <w:r w:rsidDel="00000000" w:rsidR="00000000" w:rsidRPr="00000000">
        <w:rPr>
          <w:rFonts w:ascii="Times New Roman" w:cs="Times New Roman" w:eastAsia="Times New Roman" w:hAnsi="Times New Roman"/>
          <w:b w:val="1"/>
          <w:i w:val="1"/>
          <w:sz w:val="28"/>
          <w:szCs w:val="28"/>
          <w:rtl w:val="0"/>
        </w:rPr>
        <w:t xml:space="preserve">Paspalum</w:t>
      </w:r>
    </w:p>
    <w:p w:rsidR="00000000" w:rsidDel="00000000" w:rsidP="00000000" w:rsidRDefault="00000000" w:rsidRPr="00000000" w14:paraId="00000002">
      <w:pPr>
        <w:ind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after="240" w:before="240" w:line="276" w:lineRule="auto"/>
        <w:ind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u w:val="single"/>
          <w:rtl w:val="0"/>
        </w:rPr>
        <w:t xml:space="preserve">Renan Vitor Julio ¹</w:t>
      </w:r>
      <w:r w:rsidDel="00000000" w:rsidR="00000000" w:rsidRPr="00000000">
        <w:rPr>
          <w:rFonts w:ascii="Times New Roman" w:cs="Times New Roman" w:eastAsia="Times New Roman" w:hAnsi="Times New Roman"/>
          <w:sz w:val="22"/>
          <w:szCs w:val="22"/>
          <w:rtl w:val="0"/>
        </w:rPr>
        <w:t xml:space="preserve">; Aline dos Santos de Moraes </w:t>
      </w:r>
      <w:r w:rsidDel="00000000" w:rsidR="00000000" w:rsidRPr="00000000">
        <w:rPr>
          <w:rFonts w:ascii="Times New Roman" w:cs="Times New Roman" w:eastAsia="Times New Roman" w:hAnsi="Times New Roman"/>
          <w:sz w:val="22"/>
          <w:szCs w:val="22"/>
          <w:vertAlign w:val="superscript"/>
          <w:rtl w:val="0"/>
        </w:rPr>
        <w:t xml:space="preserve">2</w:t>
      </w:r>
      <w:r w:rsidDel="00000000" w:rsidR="00000000" w:rsidRPr="00000000">
        <w:rPr>
          <w:rFonts w:ascii="Times New Roman" w:cs="Times New Roman" w:eastAsia="Times New Roman" w:hAnsi="Times New Roman"/>
          <w:sz w:val="22"/>
          <w:szCs w:val="22"/>
          <w:rtl w:val="0"/>
        </w:rPr>
        <w:t xml:space="preserve">;Maria Luiza Queluz </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Fonts w:ascii="Times New Roman" w:cs="Times New Roman" w:eastAsia="Times New Roman" w:hAnsi="Times New Roman"/>
          <w:sz w:val="22"/>
          <w:szCs w:val="22"/>
          <w:rtl w:val="0"/>
        </w:rPr>
        <w:t xml:space="preserve">; Marcelo Mattos Cavallari </w:t>
      </w:r>
      <w:r w:rsidDel="00000000" w:rsidR="00000000" w:rsidRPr="00000000">
        <w:rPr>
          <w:rFonts w:ascii="Times New Roman" w:cs="Times New Roman" w:eastAsia="Times New Roman" w:hAnsi="Times New Roman"/>
          <w:sz w:val="22"/>
          <w:szCs w:val="22"/>
          <w:vertAlign w:val="superscript"/>
          <w:rtl w:val="0"/>
        </w:rPr>
        <w:t xml:space="preserve">4</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4">
      <w:pPr>
        <w:shd w:fill="ffffff" w:val="clear"/>
        <w:jc w:val="cente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5">
      <w:pPr>
        <w:spacing w:before="240" w:lineRule="auto"/>
        <w:ind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¹ Aluno de graduação em Ciências Biológicas, Universidade de Araraquara SP, Bolsista ITI-A Embrapa CNPq, Embrapa Pecuária Sudeste, São Carlos, SP; </w:t>
      </w:r>
      <w:hyperlink r:id="rId6">
        <w:r w:rsidDel="00000000" w:rsidR="00000000" w:rsidRPr="00000000">
          <w:rPr>
            <w:rFonts w:ascii="Times New Roman" w:cs="Times New Roman" w:eastAsia="Times New Roman" w:hAnsi="Times New Roman"/>
            <w:color w:val="1155cc"/>
            <w:sz w:val="20"/>
            <w:szCs w:val="20"/>
            <w:u w:val="single"/>
            <w:rtl w:val="0"/>
          </w:rPr>
          <w:t xml:space="preserve">rvjulio@uniara.edu.br</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6">
      <w:pPr>
        <w:keepNext w:val="1"/>
        <w:widowControl w:val="0"/>
        <w:ind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²Aluna de graduação em Gestão Ambiental, Universidade De Federal De São Carlos,Bolsista PIBIC;Embrapa Pecuária Sudeste, São Carlos, SP;</w:t>
      </w:r>
    </w:p>
    <w:p w:rsidR="00000000" w:rsidDel="00000000" w:rsidP="00000000" w:rsidRDefault="00000000" w:rsidRPr="00000000" w14:paraId="00000007">
      <w:pPr>
        <w:keepNext w:val="1"/>
        <w:widowControl w:val="0"/>
        <w:ind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³Aluna de graduação em Gestão Ambiental, Universidade De Federal De São Carlos, Bolsista ITI-A Embrapa CNPq;Embrapa Pecuária Sudeste, São Carlos, SP;</w:t>
      </w:r>
    </w:p>
    <w:p w:rsidR="00000000" w:rsidDel="00000000" w:rsidP="00000000" w:rsidRDefault="00000000" w:rsidRPr="00000000" w14:paraId="00000008">
      <w:pPr>
        <w:keepNext w:val="1"/>
        <w:widowControl w:val="0"/>
        <w:ind w:firstLine="0"/>
        <w:jc w:val="both"/>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vertAlign w:val="superscript"/>
          <w:rtl w:val="0"/>
        </w:rPr>
        <w:t xml:space="preserve">4</w:t>
      </w:r>
      <w:r w:rsidDel="00000000" w:rsidR="00000000" w:rsidRPr="00000000">
        <w:rPr>
          <w:rFonts w:ascii="Times New Roman" w:cs="Times New Roman" w:eastAsia="Times New Roman" w:hAnsi="Times New Roman"/>
          <w:sz w:val="20"/>
          <w:szCs w:val="20"/>
          <w:rtl w:val="0"/>
        </w:rPr>
        <w:t xml:space="preserve"> Pesquisador da Embrapa Pecuária Sudeste, São Carlos, SP</w:t>
      </w:r>
      <w:r w:rsidDel="00000000" w:rsidR="00000000" w:rsidRPr="00000000">
        <w:rPr>
          <w:rtl w:val="0"/>
        </w:rPr>
      </w:r>
    </w:p>
    <w:p w:rsidR="00000000" w:rsidDel="00000000" w:rsidP="00000000" w:rsidRDefault="00000000" w:rsidRPr="00000000" w14:paraId="00000009">
      <w:pPr>
        <w:ind w:firstLine="0"/>
        <w:jc w:val="both"/>
        <w:rPr>
          <w:rFonts w:ascii="Times New Roman" w:cs="Times New Roman" w:eastAsia="Times New Roman" w:hAnsi="Times New Roman"/>
          <w:sz w:val="20"/>
          <w:szCs w:val="20"/>
          <w:vertAlign w:val="superscript"/>
        </w:rPr>
      </w:pPr>
      <w:r w:rsidDel="00000000" w:rsidR="00000000" w:rsidRPr="00000000">
        <w:rPr>
          <w:rtl w:val="0"/>
        </w:rPr>
      </w:r>
    </w:p>
    <w:p w:rsidR="00000000" w:rsidDel="00000000" w:rsidP="00000000" w:rsidRDefault="00000000" w:rsidRPr="00000000" w14:paraId="0000000A">
      <w:pPr>
        <w:ind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spacing w:after="240" w:before="240" w:lineRule="auto"/>
        <w:ind w:firstLine="0"/>
        <w:jc w:val="both"/>
        <w:rPr>
          <w:rFonts w:ascii="Times New Roman" w:cs="Times New Roman" w:eastAsia="Times New Roman" w:hAnsi="Times New Roman"/>
        </w:rPr>
      </w:pPr>
      <w:bookmarkStart w:colFirst="0" w:colLast="0" w:name="_njw3esewnz8z" w:id="1"/>
      <w:bookmarkEnd w:id="1"/>
      <w:r w:rsidDel="00000000" w:rsidR="00000000" w:rsidRPr="00000000">
        <w:rPr>
          <w:rFonts w:ascii="Times New Roman" w:cs="Times New Roman" w:eastAsia="Times New Roman" w:hAnsi="Times New Roman"/>
          <w:rtl w:val="0"/>
        </w:rPr>
        <w:t xml:space="preserve">As estiagens prolongadas são um dos principais limitantes ao crescimento e à produtividade das plantas forrageiras, sendo fundamental a identificação de materiais mais tolerantes ao déficit hídrico para uso em programas de melhoramento genético. O presente trabalho teve como objetivo avaliar a resposta de diferentes acessos do gênero </w:t>
      </w:r>
      <w:r w:rsidDel="00000000" w:rsidR="00000000" w:rsidRPr="00000000">
        <w:rPr>
          <w:rFonts w:ascii="Times New Roman" w:cs="Times New Roman" w:eastAsia="Times New Roman" w:hAnsi="Times New Roman"/>
          <w:i w:val="1"/>
          <w:rtl w:val="0"/>
        </w:rPr>
        <w:t xml:space="preserve">Paspalum</w:t>
      </w:r>
      <w:r w:rsidDel="00000000" w:rsidR="00000000" w:rsidRPr="00000000">
        <w:rPr>
          <w:rFonts w:ascii="Times New Roman" w:cs="Times New Roman" w:eastAsia="Times New Roman" w:hAnsi="Times New Roman"/>
          <w:rtl w:val="0"/>
        </w:rPr>
        <w:t xml:space="preserve">, pertencentes ao Banco Ativo de Germoplasma da Embrapa Pecuária Sudeste (BAG </w:t>
      </w:r>
      <w:r w:rsidDel="00000000" w:rsidR="00000000" w:rsidRPr="00000000">
        <w:rPr>
          <w:rFonts w:ascii="Times New Roman" w:cs="Times New Roman" w:eastAsia="Times New Roman" w:hAnsi="Times New Roman"/>
          <w:i w:val="1"/>
          <w:rtl w:val="0"/>
        </w:rPr>
        <w:t xml:space="preserve">Paspalum</w:t>
      </w:r>
      <w:r w:rsidDel="00000000" w:rsidR="00000000" w:rsidRPr="00000000">
        <w:rPr>
          <w:rFonts w:ascii="Times New Roman" w:cs="Times New Roman" w:eastAsia="Times New Roman" w:hAnsi="Times New Roman"/>
          <w:rtl w:val="0"/>
        </w:rPr>
        <w:t xml:space="preserve">) a um período prolongado de seca e ao retorno das chuvas. A avaliação foi conduzida em condições de campo na Embrapa Pecuária Sudeste, em São Carlos, SP, em parcelas de 10 x 1 m nas quais são mantidos os acessos do BAG </w:t>
      </w:r>
      <w:r w:rsidDel="00000000" w:rsidR="00000000" w:rsidRPr="00000000">
        <w:rPr>
          <w:rFonts w:ascii="Times New Roman" w:cs="Times New Roman" w:eastAsia="Times New Roman" w:hAnsi="Times New Roman"/>
          <w:i w:val="1"/>
          <w:rtl w:val="0"/>
        </w:rPr>
        <w:t xml:space="preserve">Paspalum</w:t>
      </w:r>
      <w:r w:rsidDel="00000000" w:rsidR="00000000" w:rsidRPr="00000000">
        <w:rPr>
          <w:rFonts w:ascii="Times New Roman" w:cs="Times New Roman" w:eastAsia="Times New Roman" w:hAnsi="Times New Roman"/>
          <w:rtl w:val="0"/>
        </w:rPr>
        <w:t xml:space="preserve">. Foi utilizada uma escala de avaliação visual, variando de 1 (correspondente à ausência de plantas vivas) a 5 (totalidade da parcela com plantas vivas e vigorosas). A avaliação foi feita em outubro (período seco, marcado por déficit hídrico de 7 meses seguidos) e novembro (após retorno das chuvas, com reposição dos estoques hídricos no solo), no ano de 2024. Foram avaliadas apenas as espécies com pelo menos quatro acessos distintos (tratados como repetições da espécie), totalizando 10 espécies avaliadas. Os resultados mostraram variações significativas entre as espécies em relação à tolerância ao déficit hídrico. </w:t>
      </w:r>
      <w:r w:rsidDel="00000000" w:rsidR="00000000" w:rsidRPr="00000000">
        <w:rPr>
          <w:rFonts w:ascii="Times New Roman" w:cs="Times New Roman" w:eastAsia="Times New Roman" w:hAnsi="Times New Roman"/>
          <w:i w:val="1"/>
          <w:rtl w:val="0"/>
        </w:rPr>
        <w:t xml:space="preserve">P. guenoarum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P.malacophyllum</w:t>
      </w:r>
      <w:r w:rsidDel="00000000" w:rsidR="00000000" w:rsidRPr="00000000">
        <w:rPr>
          <w:rFonts w:ascii="Times New Roman" w:cs="Times New Roman" w:eastAsia="Times New Roman" w:hAnsi="Times New Roman"/>
          <w:rtl w:val="0"/>
        </w:rPr>
        <w:t xml:space="preserve"> e o híbrido </w:t>
      </w:r>
      <w:r w:rsidDel="00000000" w:rsidR="00000000" w:rsidRPr="00000000">
        <w:rPr>
          <w:rFonts w:ascii="Times New Roman" w:cs="Times New Roman" w:eastAsia="Times New Roman" w:hAnsi="Times New Roman"/>
          <w:i w:val="1"/>
          <w:rtl w:val="0"/>
        </w:rPr>
        <w:t xml:space="preserve">P. plicatulum </w:t>
      </w:r>
      <w:r w:rsidDel="00000000" w:rsidR="00000000" w:rsidRPr="00000000">
        <w:rPr>
          <w:rFonts w:ascii="Times New Roman" w:cs="Times New Roman" w:eastAsia="Times New Roman" w:hAnsi="Times New Roman"/>
          <w:rtl w:val="0"/>
        </w:rPr>
        <w:t xml:space="preserve">x </w:t>
      </w:r>
      <w:r w:rsidDel="00000000" w:rsidR="00000000" w:rsidRPr="00000000">
        <w:rPr>
          <w:rFonts w:ascii="Times New Roman" w:cs="Times New Roman" w:eastAsia="Times New Roman" w:hAnsi="Times New Roman"/>
          <w:i w:val="1"/>
          <w:rtl w:val="0"/>
        </w:rPr>
        <w:t xml:space="preserve">P. guenoarum </w:t>
      </w:r>
      <w:r w:rsidDel="00000000" w:rsidR="00000000" w:rsidRPr="00000000">
        <w:rPr>
          <w:rFonts w:ascii="Times New Roman" w:cs="Times New Roman" w:eastAsia="Times New Roman" w:hAnsi="Times New Roman"/>
          <w:rtl w:val="0"/>
        </w:rPr>
        <w:t xml:space="preserve">(4pt X </w:t>
      </w:r>
      <w:r w:rsidDel="00000000" w:rsidR="00000000" w:rsidRPr="00000000">
        <w:rPr>
          <w:rFonts w:ascii="Times New Roman" w:cs="Times New Roman" w:eastAsia="Times New Roman" w:hAnsi="Times New Roman"/>
          <w:i w:val="1"/>
          <w:rtl w:val="0"/>
        </w:rPr>
        <w:t xml:space="preserve">rojas</w:t>
      </w:r>
      <w:r w:rsidDel="00000000" w:rsidR="00000000" w:rsidRPr="00000000">
        <w:rPr>
          <w:rFonts w:ascii="Times New Roman" w:cs="Times New Roman" w:eastAsia="Times New Roman" w:hAnsi="Times New Roman"/>
          <w:rtl w:val="0"/>
        </w:rPr>
        <w:t xml:space="preserve">) destacaram-se com as maiores médias nos dois períodos, evidenciando alta tolerância ao déficit hídrico. Por outro lado, espécies como </w:t>
      </w:r>
      <w:r w:rsidDel="00000000" w:rsidR="00000000" w:rsidRPr="00000000">
        <w:rPr>
          <w:rFonts w:ascii="Times New Roman" w:cs="Times New Roman" w:eastAsia="Times New Roman" w:hAnsi="Times New Roman"/>
          <w:i w:val="1"/>
          <w:rtl w:val="0"/>
        </w:rPr>
        <w:t xml:space="preserve">P. compressifolium</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i w:val="1"/>
          <w:rtl w:val="0"/>
        </w:rPr>
        <w:t xml:space="preserve">P. plicatulum</w:t>
      </w:r>
      <w:r w:rsidDel="00000000" w:rsidR="00000000" w:rsidRPr="00000000">
        <w:rPr>
          <w:rFonts w:ascii="Times New Roman" w:cs="Times New Roman" w:eastAsia="Times New Roman" w:hAnsi="Times New Roman"/>
          <w:rtl w:val="0"/>
        </w:rPr>
        <w:t xml:space="preserve"> apresentaram baixos índices médios e de menor recuperação após o retorno das chuvas, indicando baixa tolerância ao estresse hídrico. A análise estatística foi realizada por meio de ANOVA e teste de Tukey, confirmando diferenças estatisticamente significativas entre as médias das espécies nos dois períodos avaliados (p&lt;0,05). A variabilidade entre os acessos de uma mesma espécie também foi observada. Conclui-se que há diversidade entre e dentro de espécies no BAG </w:t>
      </w:r>
      <w:r w:rsidDel="00000000" w:rsidR="00000000" w:rsidRPr="00000000">
        <w:rPr>
          <w:rFonts w:ascii="Times New Roman" w:cs="Times New Roman" w:eastAsia="Times New Roman" w:hAnsi="Times New Roman"/>
          <w:i w:val="1"/>
          <w:rtl w:val="0"/>
        </w:rPr>
        <w:t xml:space="preserve">Paspalum</w:t>
      </w:r>
      <w:r w:rsidDel="00000000" w:rsidR="00000000" w:rsidRPr="00000000">
        <w:rPr>
          <w:rFonts w:ascii="Times New Roman" w:cs="Times New Roman" w:eastAsia="Times New Roman" w:hAnsi="Times New Roman"/>
          <w:rtl w:val="0"/>
        </w:rPr>
        <w:t xml:space="preserve"> com relação à tolerância ao déficit hídrico e com relação à recuperação após o final da estiagem, podendo essa variabilidade ser explorada nos programas de melhoramento genético visando o desenvolvimento de cultivares mais tolerantes à seca.</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0"/>
        <w:jc w:val="both"/>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00F">
      <w:pPr>
        <w:spacing w:line="276" w:lineRule="auto"/>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Apoio financeiro: Embrapa</w:t>
      </w:r>
    </w:p>
    <w:p w:rsidR="00000000" w:rsidDel="00000000" w:rsidP="00000000" w:rsidRDefault="00000000" w:rsidRPr="00000000" w14:paraId="00000010">
      <w:pPr>
        <w:spacing w:line="276" w:lineRule="auto"/>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Área: Ciências Agrárias</w:t>
      </w:r>
    </w:p>
    <w:p w:rsidR="00000000" w:rsidDel="00000000" w:rsidP="00000000" w:rsidRDefault="00000000" w:rsidRPr="00000000" w14:paraId="00000011">
      <w:pPr>
        <w:spacing w:line="276" w:lineRule="auto"/>
        <w:ind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Palavras-chave: </w:t>
      </w:r>
      <w:r w:rsidDel="00000000" w:rsidR="00000000" w:rsidRPr="00000000">
        <w:rPr>
          <w:rFonts w:ascii="Times New Roman" w:cs="Times New Roman" w:eastAsia="Times New Roman" w:hAnsi="Times New Roman"/>
          <w:i w:val="1"/>
          <w:sz w:val="22"/>
          <w:szCs w:val="22"/>
          <w:rtl w:val="0"/>
        </w:rPr>
        <w:t xml:space="preserve">Paspalum</w:t>
      </w:r>
      <w:r w:rsidDel="00000000" w:rsidR="00000000" w:rsidRPr="00000000">
        <w:rPr>
          <w:rFonts w:ascii="Times New Roman" w:cs="Times New Roman" w:eastAsia="Times New Roman" w:hAnsi="Times New Roman"/>
          <w:sz w:val="22"/>
          <w:szCs w:val="22"/>
          <w:rtl w:val="0"/>
        </w:rPr>
        <w:t xml:space="preserve">, seca, estresse hídrico, germoplasma, vigor</w:t>
      </w:r>
    </w:p>
    <w:p w:rsidR="00000000" w:rsidDel="00000000" w:rsidP="00000000" w:rsidRDefault="00000000" w:rsidRPr="00000000" w14:paraId="00000012">
      <w:pPr>
        <w:spacing w:line="276" w:lineRule="auto"/>
        <w:ind w:firstLine="0"/>
        <w:rPr>
          <w:rFonts w:ascii="Times New Roman" w:cs="Times New Roman" w:eastAsia="Times New Roman" w:hAnsi="Times New Roman"/>
          <w:b w:val="1"/>
          <w:sz w:val="20"/>
          <w:szCs w:val="20"/>
        </w:rPr>
      </w:pPr>
      <w:bookmarkStart w:colFirst="0" w:colLast="0" w:name="_vr31hp177jbk" w:id="2"/>
      <w:bookmarkEnd w:id="2"/>
      <w:r w:rsidDel="00000000" w:rsidR="00000000" w:rsidRPr="00000000">
        <w:rPr>
          <w:rFonts w:ascii="Times New Roman" w:cs="Times New Roman" w:eastAsia="Times New Roman" w:hAnsi="Times New Roman"/>
          <w:sz w:val="22"/>
          <w:szCs w:val="22"/>
          <w:rtl w:val="0"/>
        </w:rPr>
        <w:t xml:space="preserve">Sisgen: A328577</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1701" w:left="1418" w:right="1418" w:header="709" w:footer="709"/>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ind w:hanging="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Resumos da 17ª Jornada Científica – Embrapa São Carlos – 22 de agosto de 2025</w:t>
    </w:r>
  </w:p>
  <w:p w:rsidR="00000000" w:rsidDel="00000000" w:rsidP="00000000" w:rsidRDefault="00000000" w:rsidRPr="00000000" w14:paraId="00000015">
    <w:pPr>
      <w:pBdr>
        <w:top w:space="0" w:sz="0" w:val="nil"/>
        <w:left w:space="0" w:sz="0" w:val="nil"/>
        <w:bottom w:color="000000" w:space="1" w:sz="4" w:val="single"/>
        <w:right w:space="0" w:sz="0" w:val="nil"/>
        <w:between w:space="0" w:sz="0" w:val="nil"/>
      </w:pBdr>
      <w:tabs>
        <w:tab w:val="center" w:leader="none" w:pos="4252"/>
        <w:tab w:val="right" w:leader="none" w:pos="8504"/>
      </w:tabs>
      <w:ind w:hanging="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Embrapa Instrumentação e Embrapa Pecuária Sudeste – São Carlos, SP - Brasil</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4"/>
        <w:szCs w:val="24"/>
        <w:lang w:val="pt_BR"/>
      </w:rPr>
    </w:rPrDefault>
    <w:pPrDefault>
      <w:pPr>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rvjulio@uniara.edu.br" TargetMode="Externa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