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A210E07" w:rsidR="005A2ECD" w:rsidRDefault="00D40369">
      <w:pPr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220CE">
        <w:rPr>
          <w:rFonts w:ascii="Times New Roman" w:eastAsia="Times New Roman" w:hAnsi="Times New Roman" w:cs="Times New Roman"/>
          <w:b/>
          <w:sz w:val="28"/>
          <w:szCs w:val="28"/>
        </w:rPr>
        <w:t>Análise comparativa de transcriptomas de duas espécies</w:t>
      </w:r>
      <w:r w:rsidR="00BA4F40">
        <w:rPr>
          <w:rFonts w:ascii="Times New Roman" w:eastAsia="Times New Roman" w:hAnsi="Times New Roman" w:cs="Times New Roman"/>
          <w:b/>
          <w:sz w:val="28"/>
          <w:szCs w:val="28"/>
        </w:rPr>
        <w:t xml:space="preserve"> de cercopídeos</w:t>
      </w:r>
      <w:r w:rsidR="00C220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B7C2A">
        <w:rPr>
          <w:rFonts w:ascii="Times New Roman" w:eastAsia="Times New Roman" w:hAnsi="Times New Roman" w:cs="Times New Roman"/>
          <w:b/>
          <w:sz w:val="28"/>
          <w:szCs w:val="28"/>
        </w:rPr>
        <w:t xml:space="preserve">do gênero </w:t>
      </w:r>
      <w:r w:rsidR="005B7C2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Mahanarva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(Hemiptera: Cercopidae)</w:t>
      </w:r>
      <w:r w:rsidR="00385DED">
        <w:rPr>
          <w:rFonts w:ascii="Times New Roman" w:eastAsia="Times New Roman" w:hAnsi="Times New Roman" w:cs="Times New Roman"/>
          <w:b/>
          <w:sz w:val="28"/>
          <w:szCs w:val="28"/>
        </w:rPr>
        <w:t xml:space="preserve"> com importância agrícola distinta</w:t>
      </w:r>
    </w:p>
    <w:p w14:paraId="00000002" w14:textId="77777777" w:rsidR="005A2ECD" w:rsidRDefault="005A2ECD">
      <w:pPr>
        <w:spacing w:after="0" w:line="240" w:lineRule="auto"/>
        <w:ind w:right="109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5A2ECD" w:rsidRPr="00352444" w:rsidRDefault="00D40369">
      <w:pPr>
        <w:spacing w:after="0" w:line="240" w:lineRule="auto"/>
        <w:ind w:right="109"/>
        <w:jc w:val="center"/>
        <w:rPr>
          <w:rFonts w:ascii="Times New Roman" w:eastAsia="Times New Roman" w:hAnsi="Times New Roman" w:cs="Times New Roman"/>
        </w:rPr>
      </w:pPr>
      <w:r w:rsidRPr="00352444">
        <w:rPr>
          <w:rFonts w:ascii="Times New Roman" w:eastAsia="Times New Roman" w:hAnsi="Times New Roman" w:cs="Times New Roman"/>
          <w:u w:val="single"/>
        </w:rPr>
        <w:t>Gustavo Fernando Ferreira Gonçalves</w:t>
      </w:r>
      <w:r w:rsidRPr="00352444">
        <w:rPr>
          <w:rFonts w:ascii="Times New Roman" w:eastAsia="Times New Roman" w:hAnsi="Times New Roman" w:cs="Times New Roman"/>
          <w:vertAlign w:val="superscript"/>
        </w:rPr>
        <w:t>1</w:t>
      </w:r>
      <w:r w:rsidRPr="00352444">
        <w:rPr>
          <w:rFonts w:ascii="Times New Roman" w:eastAsia="Times New Roman" w:hAnsi="Times New Roman" w:cs="Times New Roman"/>
        </w:rPr>
        <w:t>; Isabela dos Santos Begnami</w:t>
      </w:r>
      <w:r w:rsidRPr="00352444">
        <w:rPr>
          <w:rFonts w:ascii="Times New Roman" w:eastAsia="Times New Roman" w:hAnsi="Times New Roman" w:cs="Times New Roman"/>
          <w:vertAlign w:val="superscript"/>
        </w:rPr>
        <w:t>2</w:t>
      </w:r>
      <w:r w:rsidRPr="00352444">
        <w:rPr>
          <w:rFonts w:ascii="Times New Roman" w:eastAsia="Times New Roman" w:hAnsi="Times New Roman" w:cs="Times New Roman"/>
        </w:rPr>
        <w:t>; Wilson Malagó Júnior</w:t>
      </w:r>
      <w:r w:rsidRPr="00352444">
        <w:rPr>
          <w:rFonts w:ascii="Times New Roman" w:eastAsia="Times New Roman" w:hAnsi="Times New Roman" w:cs="Times New Roman"/>
          <w:vertAlign w:val="superscript"/>
        </w:rPr>
        <w:t>3</w:t>
      </w:r>
      <w:r w:rsidRPr="00352444">
        <w:rPr>
          <w:rFonts w:ascii="Times New Roman" w:eastAsia="Times New Roman" w:hAnsi="Times New Roman" w:cs="Times New Roman"/>
        </w:rPr>
        <w:t>; Marcos Rafael Gusmão</w:t>
      </w:r>
      <w:r w:rsidRPr="00352444">
        <w:rPr>
          <w:rFonts w:ascii="Times New Roman" w:eastAsia="Times New Roman" w:hAnsi="Times New Roman" w:cs="Times New Roman"/>
          <w:vertAlign w:val="superscript"/>
        </w:rPr>
        <w:t>3</w:t>
      </w:r>
      <w:r w:rsidRPr="00352444">
        <w:rPr>
          <w:rFonts w:ascii="Times New Roman" w:eastAsia="Times New Roman" w:hAnsi="Times New Roman" w:cs="Times New Roman"/>
        </w:rPr>
        <w:t>; Bianca Baccili Zanotto Vigna</w:t>
      </w:r>
      <w:r w:rsidRPr="00352444">
        <w:rPr>
          <w:rFonts w:ascii="Times New Roman" w:eastAsia="Times New Roman" w:hAnsi="Times New Roman" w:cs="Times New Roman"/>
          <w:vertAlign w:val="superscript"/>
        </w:rPr>
        <w:t>3</w:t>
      </w:r>
    </w:p>
    <w:p w14:paraId="00000004" w14:textId="77777777" w:rsidR="005A2ECD" w:rsidRDefault="005A2ECD">
      <w:pPr>
        <w:spacing w:after="0" w:line="240" w:lineRule="auto"/>
        <w:ind w:right="109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57A2B216" w:rsidR="005A2ECD" w:rsidRDefault="00D40369">
      <w:pPr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</w:t>
      </w:r>
      <w:r w:rsidR="001D2341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Aluno de graduação em Biotecnologia, Universidade Federal de São Carlos, São Carlos, SP. Bolsista PIBIC/CNPq, Embrapa Pecuária Sudeste, São Carlos, SP; gustavoffg@estudante.ufscar.br</w:t>
      </w:r>
    </w:p>
    <w:p w14:paraId="00000006" w14:textId="7ED78736" w:rsidR="005A2ECD" w:rsidRDefault="00D403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2</w:t>
      </w:r>
      <w:r w:rsidR="001D2341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Aluna de doutorado em Genética e Biologia Molecular, Universidade Estadual de Campinas, Campinas, SP.</w:t>
      </w:r>
    </w:p>
    <w:p w14:paraId="00000007" w14:textId="1E82843B" w:rsidR="005A2ECD" w:rsidRDefault="001D2341">
      <w:pPr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3 </w:t>
      </w:r>
      <w:r w:rsidR="00D40369">
        <w:rPr>
          <w:rFonts w:ascii="Times New Roman" w:eastAsia="Times New Roman" w:hAnsi="Times New Roman" w:cs="Times New Roman"/>
          <w:i/>
          <w:sz w:val="20"/>
          <w:szCs w:val="20"/>
        </w:rPr>
        <w:t>Pesquisador(a) da Embrapa Pecuária Sudeste, São Carlos, SP.</w:t>
      </w:r>
    </w:p>
    <w:p w14:paraId="00000009" w14:textId="77777777" w:rsidR="005A2ECD" w:rsidRDefault="005A2ECD">
      <w:pPr>
        <w:spacing w:after="0" w:line="240" w:lineRule="auto"/>
        <w:ind w:right="109"/>
        <w:rPr>
          <w:rFonts w:ascii="Times New Roman" w:eastAsia="Times New Roman" w:hAnsi="Times New Roman" w:cs="Times New Roman"/>
          <w:sz w:val="24"/>
          <w:szCs w:val="24"/>
        </w:rPr>
      </w:pPr>
    </w:p>
    <w:p w14:paraId="4ED866D4" w14:textId="77777777" w:rsidR="00021769" w:rsidRDefault="00021769">
      <w:pPr>
        <w:spacing w:after="0" w:line="240" w:lineRule="auto"/>
        <w:ind w:right="109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1E4E0918" w:rsidR="005A2ECD" w:rsidRDefault="006D3219" w:rsidP="003A063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Os cercopídeos</w:t>
      </w:r>
      <w:r w:rsidR="0099468A">
        <w:rPr>
          <w:rFonts w:ascii="Times New Roman" w:eastAsia="Times New Roman" w:hAnsi="Times New Roman" w:cs="Times New Roman"/>
          <w:sz w:val="24"/>
          <w:szCs w:val="24"/>
        </w:rPr>
        <w:t xml:space="preserve"> são insetos sugadores</w:t>
      </w:r>
      <w:r w:rsidR="00D403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468A">
        <w:rPr>
          <w:rFonts w:ascii="Times New Roman" w:eastAsia="Times New Roman" w:hAnsi="Times New Roman" w:cs="Times New Roman"/>
          <w:iCs/>
          <w:sz w:val="24"/>
          <w:szCs w:val="24"/>
        </w:rPr>
        <w:t>caracterizados como</w:t>
      </w:r>
      <w:r w:rsidR="00D40369">
        <w:rPr>
          <w:rFonts w:ascii="Times New Roman" w:eastAsia="Times New Roman" w:hAnsi="Times New Roman" w:cs="Times New Roman"/>
          <w:sz w:val="24"/>
          <w:szCs w:val="24"/>
        </w:rPr>
        <w:t xml:space="preserve"> praga significativa em </w:t>
      </w:r>
      <w:r w:rsidR="006544AB">
        <w:rPr>
          <w:rFonts w:ascii="Times New Roman" w:eastAsia="Times New Roman" w:hAnsi="Times New Roman" w:cs="Times New Roman"/>
          <w:sz w:val="24"/>
          <w:szCs w:val="24"/>
        </w:rPr>
        <w:t>poáceas</w:t>
      </w:r>
      <w:r w:rsidR="00EE48A6">
        <w:rPr>
          <w:rFonts w:ascii="Times New Roman" w:eastAsia="Times New Roman" w:hAnsi="Times New Roman" w:cs="Times New Roman"/>
          <w:sz w:val="24"/>
          <w:szCs w:val="24"/>
        </w:rPr>
        <w:t xml:space="preserve">, incluindo forrageiras e </w:t>
      </w:r>
      <w:r w:rsidR="0001066F">
        <w:rPr>
          <w:rFonts w:ascii="Times New Roman" w:eastAsia="Times New Roman" w:hAnsi="Times New Roman" w:cs="Times New Roman"/>
          <w:sz w:val="24"/>
          <w:szCs w:val="24"/>
        </w:rPr>
        <w:t>a cana-de-açúcar</w:t>
      </w:r>
      <w:r w:rsidR="00D4036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072AD">
        <w:rPr>
          <w:rFonts w:ascii="Times New Roman" w:eastAsia="Times New Roman" w:hAnsi="Times New Roman" w:cs="Times New Roman"/>
          <w:sz w:val="24"/>
          <w:szCs w:val="24"/>
        </w:rPr>
        <w:t xml:space="preserve">Recentemente espécies pertencentes ao gênero </w:t>
      </w:r>
      <w:r w:rsidR="009072AD">
        <w:rPr>
          <w:rFonts w:ascii="Times New Roman" w:eastAsia="Times New Roman" w:hAnsi="Times New Roman" w:cs="Times New Roman"/>
          <w:i/>
          <w:iCs/>
          <w:sz w:val="24"/>
          <w:szCs w:val="24"/>
        </w:rPr>
        <w:t>Mahanarva</w:t>
      </w:r>
      <w:r w:rsidR="009072AD">
        <w:rPr>
          <w:rFonts w:ascii="Times New Roman" w:eastAsia="Times New Roman" w:hAnsi="Times New Roman" w:cs="Times New Roman"/>
          <w:sz w:val="24"/>
          <w:szCs w:val="24"/>
        </w:rPr>
        <w:t xml:space="preserve"> (comumente associado com </w:t>
      </w:r>
      <w:r w:rsidR="005B7C2A">
        <w:rPr>
          <w:rFonts w:ascii="Times New Roman" w:eastAsia="Times New Roman" w:hAnsi="Times New Roman" w:cs="Times New Roman"/>
          <w:sz w:val="24"/>
          <w:szCs w:val="24"/>
        </w:rPr>
        <w:t>g</w:t>
      </w:r>
      <w:r w:rsidR="005B7C2A" w:rsidRPr="005B7C2A">
        <w:rPr>
          <w:rFonts w:ascii="Times New Roman" w:eastAsia="Times New Roman" w:hAnsi="Times New Roman" w:cs="Times New Roman"/>
          <w:sz w:val="24"/>
          <w:szCs w:val="24"/>
        </w:rPr>
        <w:t>ramíneas de grande porte</w:t>
      </w:r>
      <w:r w:rsidR="005B7C2A">
        <w:rPr>
          <w:rFonts w:ascii="Times New Roman" w:eastAsia="Times New Roman" w:hAnsi="Times New Roman" w:cs="Times New Roman"/>
          <w:sz w:val="24"/>
          <w:szCs w:val="24"/>
        </w:rPr>
        <w:t>)</w:t>
      </w:r>
      <w:r w:rsidR="00743E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7C2A" w:rsidRPr="005B7C2A">
        <w:rPr>
          <w:rFonts w:ascii="Times New Roman" w:eastAsia="Times New Roman" w:hAnsi="Times New Roman" w:cs="Times New Roman"/>
          <w:sz w:val="24"/>
          <w:szCs w:val="24"/>
        </w:rPr>
        <w:t>têm constituído pragas importantes também em pastagens</w:t>
      </w:r>
      <w:r w:rsidR="00D40369">
        <w:rPr>
          <w:rFonts w:ascii="Times New Roman" w:eastAsia="Times New Roman" w:hAnsi="Times New Roman" w:cs="Times New Roman"/>
          <w:sz w:val="24"/>
          <w:szCs w:val="24"/>
        </w:rPr>
        <w:t xml:space="preserve">. Atualmente, poucas opções de controle são viáveis, sendo o RNA de interferência (RNAi) um método promissor devido à sua alta especificidade e eficiência, além de causar menor impacto ambiental. </w:t>
      </w:r>
      <w:r w:rsidR="00B101B1">
        <w:rPr>
          <w:rFonts w:ascii="Times New Roman" w:eastAsia="Times New Roman" w:hAnsi="Times New Roman" w:cs="Times New Roman"/>
          <w:sz w:val="24"/>
          <w:szCs w:val="24"/>
        </w:rPr>
        <w:t>Considerando que diferentes espécies podem apresentar níveis distintos de adaptação e espec</w:t>
      </w:r>
      <w:r w:rsidR="00FE3BF3">
        <w:rPr>
          <w:rFonts w:ascii="Times New Roman" w:eastAsia="Times New Roman" w:hAnsi="Times New Roman" w:cs="Times New Roman"/>
          <w:sz w:val="24"/>
          <w:szCs w:val="24"/>
        </w:rPr>
        <w:t>ificidade ao hospedeiro</w:t>
      </w:r>
      <w:r w:rsidR="00B101B1">
        <w:rPr>
          <w:rFonts w:ascii="Times New Roman" w:eastAsia="Times New Roman" w:hAnsi="Times New Roman" w:cs="Times New Roman"/>
          <w:sz w:val="24"/>
          <w:szCs w:val="24"/>
        </w:rPr>
        <w:t>, n</w:t>
      </w:r>
      <w:r w:rsidR="00D40369">
        <w:rPr>
          <w:rFonts w:ascii="Times New Roman" w:eastAsia="Times New Roman" w:hAnsi="Times New Roman" w:cs="Times New Roman"/>
          <w:sz w:val="24"/>
          <w:szCs w:val="24"/>
        </w:rPr>
        <w:t xml:space="preserve">osso objetivo foi </w:t>
      </w:r>
      <w:r w:rsidR="006E4833">
        <w:rPr>
          <w:rFonts w:ascii="Times New Roman" w:eastAsia="Times New Roman" w:hAnsi="Times New Roman" w:cs="Times New Roman"/>
          <w:sz w:val="24"/>
          <w:szCs w:val="24"/>
        </w:rPr>
        <w:t xml:space="preserve">identificar diferenças nos perfis de expressão gênica </w:t>
      </w:r>
      <w:r w:rsidR="00E77959">
        <w:rPr>
          <w:rFonts w:ascii="Times New Roman" w:eastAsia="Times New Roman" w:hAnsi="Times New Roman" w:cs="Times New Roman"/>
          <w:sz w:val="24"/>
          <w:szCs w:val="24"/>
        </w:rPr>
        <w:t xml:space="preserve">dentro do gênero </w:t>
      </w:r>
      <w:r w:rsidR="00E7795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Mahanarva </w:t>
      </w:r>
      <w:r w:rsidR="006E4833">
        <w:rPr>
          <w:rFonts w:ascii="Times New Roman" w:eastAsia="Times New Roman" w:hAnsi="Times New Roman" w:cs="Times New Roman"/>
          <w:sz w:val="24"/>
          <w:szCs w:val="24"/>
        </w:rPr>
        <w:t>que possam estar relacionados à</w:t>
      </w:r>
      <w:r w:rsidR="00A75140">
        <w:rPr>
          <w:rFonts w:ascii="Times New Roman" w:eastAsia="Times New Roman" w:hAnsi="Times New Roman" w:cs="Times New Roman"/>
          <w:sz w:val="24"/>
          <w:szCs w:val="24"/>
        </w:rPr>
        <w:t xml:space="preserve"> mecanismos de adaptação ou potencial</w:t>
      </w:r>
      <w:r w:rsidR="00357211">
        <w:rPr>
          <w:rFonts w:ascii="Times New Roman" w:eastAsia="Times New Roman" w:hAnsi="Times New Roman" w:cs="Times New Roman"/>
          <w:sz w:val="24"/>
          <w:szCs w:val="24"/>
        </w:rPr>
        <w:t xml:space="preserve"> diferencial para controle por RNAi. Para isso </w:t>
      </w:r>
      <w:r w:rsidR="00242CB1">
        <w:rPr>
          <w:rFonts w:ascii="Times New Roman" w:eastAsia="Times New Roman" w:hAnsi="Times New Roman" w:cs="Times New Roman"/>
          <w:sz w:val="24"/>
          <w:szCs w:val="24"/>
        </w:rPr>
        <w:t>realiza</w:t>
      </w:r>
      <w:r w:rsidR="00F759EB">
        <w:rPr>
          <w:rFonts w:ascii="Times New Roman" w:eastAsia="Times New Roman" w:hAnsi="Times New Roman" w:cs="Times New Roman"/>
          <w:sz w:val="24"/>
          <w:szCs w:val="24"/>
        </w:rPr>
        <w:t>mos</w:t>
      </w:r>
      <w:r w:rsidR="00242CB1">
        <w:rPr>
          <w:rFonts w:ascii="Times New Roman" w:eastAsia="Times New Roman" w:hAnsi="Times New Roman" w:cs="Times New Roman"/>
          <w:sz w:val="24"/>
          <w:szCs w:val="24"/>
        </w:rPr>
        <w:t xml:space="preserve"> uma análise comparativa de transcriptomas de duas espécies (</w:t>
      </w:r>
      <w:r w:rsidR="00242CB1">
        <w:rPr>
          <w:rFonts w:ascii="Times New Roman" w:eastAsia="Times New Roman" w:hAnsi="Times New Roman" w:cs="Times New Roman"/>
          <w:i/>
          <w:iCs/>
          <w:sz w:val="24"/>
          <w:szCs w:val="24"/>
        </w:rPr>
        <w:t>M</w:t>
      </w:r>
      <w:r w:rsidR="00E4254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242CB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spectabilis </w:t>
      </w:r>
      <w:r w:rsidR="00242CB1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EF619C" w:rsidRPr="00EF619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="00E4254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B101B1" w:rsidRPr="00EF619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2E0936" w:rsidRPr="00E4254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fimbriolata</w:t>
      </w:r>
      <w:r w:rsidR="00B101B1">
        <w:rPr>
          <w:rFonts w:ascii="Times New Roman" w:eastAsia="Times New Roman" w:hAnsi="Times New Roman" w:cs="Times New Roman"/>
          <w:sz w:val="24"/>
          <w:szCs w:val="24"/>
        </w:rPr>
        <w:t>), uma comumente associada a forrageiras e outra especializada em cana-de-açúcar.</w:t>
      </w:r>
      <w:r w:rsidR="00551F34">
        <w:rPr>
          <w:rFonts w:ascii="Times New Roman" w:eastAsia="Times New Roman" w:hAnsi="Times New Roman" w:cs="Times New Roman"/>
          <w:sz w:val="24"/>
          <w:szCs w:val="24"/>
        </w:rPr>
        <w:t xml:space="preserve"> A partir de </w:t>
      </w:r>
      <w:r w:rsidR="005153CB">
        <w:rPr>
          <w:rFonts w:ascii="Times New Roman" w:eastAsia="Times New Roman" w:hAnsi="Times New Roman" w:cs="Times New Roman"/>
          <w:sz w:val="24"/>
          <w:szCs w:val="24"/>
        </w:rPr>
        <w:t xml:space="preserve">indivíduos adultos, ninfas e ovos coletados em condições naturais </w:t>
      </w:r>
      <w:r w:rsidR="00F80E14">
        <w:rPr>
          <w:rFonts w:ascii="Times New Roman" w:eastAsia="Times New Roman" w:hAnsi="Times New Roman" w:cs="Times New Roman"/>
          <w:sz w:val="24"/>
          <w:szCs w:val="24"/>
        </w:rPr>
        <w:t>foi realizada a extração de RNA total (kit</w:t>
      </w:r>
      <w:r w:rsidR="00425A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BC9">
        <w:rPr>
          <w:rFonts w:ascii="Times New Roman" w:eastAsia="Times New Roman" w:hAnsi="Times New Roman" w:cs="Times New Roman"/>
          <w:sz w:val="24"/>
          <w:szCs w:val="24"/>
        </w:rPr>
        <w:t>Quick-RNA Tissue/Insect Microprep</w:t>
      </w:r>
      <w:r w:rsidR="00101359">
        <w:rPr>
          <w:rFonts w:ascii="Times New Roman" w:eastAsia="Times New Roman" w:hAnsi="Times New Roman" w:cs="Times New Roman"/>
          <w:sz w:val="24"/>
          <w:szCs w:val="24"/>
        </w:rPr>
        <w:t xml:space="preserve"> ou protocolo </w:t>
      </w:r>
      <w:r w:rsidR="00AC093F">
        <w:rPr>
          <w:rFonts w:ascii="Times New Roman" w:eastAsia="Times New Roman" w:hAnsi="Times New Roman" w:cs="Times New Roman"/>
          <w:sz w:val="24"/>
          <w:szCs w:val="24"/>
        </w:rPr>
        <w:t xml:space="preserve">TRIzol), </w:t>
      </w:r>
      <w:r w:rsidR="00581D82">
        <w:rPr>
          <w:rFonts w:ascii="Times New Roman" w:eastAsia="Times New Roman" w:hAnsi="Times New Roman" w:cs="Times New Roman"/>
          <w:sz w:val="24"/>
          <w:szCs w:val="24"/>
        </w:rPr>
        <w:t>construção de bibliotecas de DNA</w:t>
      </w:r>
      <w:r w:rsidR="00654BA3">
        <w:rPr>
          <w:rFonts w:ascii="Times New Roman" w:eastAsia="Times New Roman" w:hAnsi="Times New Roman" w:cs="Times New Roman"/>
          <w:sz w:val="24"/>
          <w:szCs w:val="24"/>
        </w:rPr>
        <w:t xml:space="preserve"> complementar</w:t>
      </w:r>
      <w:r w:rsidR="00581D8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64BC9">
        <w:rPr>
          <w:rFonts w:ascii="Times New Roman" w:eastAsia="Times New Roman" w:hAnsi="Times New Roman" w:cs="Times New Roman"/>
          <w:sz w:val="24"/>
          <w:szCs w:val="24"/>
        </w:rPr>
        <w:t>kit TruSeq Stranded mRNA)</w:t>
      </w:r>
      <w:r w:rsidR="00EB0CE8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B12569">
        <w:rPr>
          <w:rFonts w:ascii="Times New Roman" w:eastAsia="Times New Roman" w:hAnsi="Times New Roman" w:cs="Times New Roman"/>
          <w:sz w:val="24"/>
          <w:szCs w:val="24"/>
        </w:rPr>
        <w:t xml:space="preserve"> sequenciamento na plataforma Illumina NextSeq 550.</w:t>
      </w:r>
      <w:r w:rsidR="009A44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0369">
        <w:rPr>
          <w:rFonts w:ascii="Times New Roman" w:eastAsia="Times New Roman" w:hAnsi="Times New Roman" w:cs="Times New Roman"/>
          <w:sz w:val="24"/>
          <w:szCs w:val="24"/>
        </w:rPr>
        <w:t>Para averiguar a qualidade</w:t>
      </w:r>
      <w:r w:rsidR="005F7942">
        <w:rPr>
          <w:rFonts w:ascii="Times New Roman" w:eastAsia="Times New Roman" w:hAnsi="Times New Roman" w:cs="Times New Roman"/>
          <w:sz w:val="24"/>
          <w:szCs w:val="24"/>
        </w:rPr>
        <w:t xml:space="preserve"> e integridade</w:t>
      </w:r>
      <w:r w:rsidR="00D40369">
        <w:rPr>
          <w:rFonts w:ascii="Times New Roman" w:eastAsia="Times New Roman" w:hAnsi="Times New Roman" w:cs="Times New Roman"/>
          <w:sz w:val="24"/>
          <w:szCs w:val="24"/>
        </w:rPr>
        <w:t xml:space="preserve"> das extrações utilizamos Nanodrop</w:t>
      </w:r>
      <w:r w:rsidR="005F7942">
        <w:rPr>
          <w:rFonts w:ascii="Times New Roman" w:eastAsia="Times New Roman" w:hAnsi="Times New Roman" w:cs="Times New Roman"/>
          <w:sz w:val="24"/>
          <w:szCs w:val="24"/>
        </w:rPr>
        <w:t xml:space="preserve"> e eletroforese em gel de agarose 1% corado com brometo de etídeo</w:t>
      </w:r>
      <w:r w:rsidR="00D40369">
        <w:rPr>
          <w:rFonts w:ascii="Times New Roman" w:eastAsia="Times New Roman" w:hAnsi="Times New Roman" w:cs="Times New Roman"/>
          <w:sz w:val="24"/>
          <w:szCs w:val="24"/>
        </w:rPr>
        <w:t xml:space="preserve">, onde as concentrações apresentaram valor médio de </w:t>
      </w:r>
      <w:r w:rsidR="003A6633" w:rsidRPr="003A66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565,20</w:t>
      </w:r>
      <w:r w:rsidR="003A6633" w:rsidRPr="003A66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6633">
        <w:rPr>
          <w:rFonts w:ascii="Times New Roman" w:eastAsia="Times New Roman" w:hAnsi="Times New Roman" w:cs="Times New Roman"/>
          <w:sz w:val="24"/>
          <w:szCs w:val="24"/>
        </w:rPr>
        <w:t xml:space="preserve">ng/µL </w:t>
      </w:r>
      <w:r w:rsidR="001B27B0">
        <w:rPr>
          <w:rFonts w:ascii="Times New Roman" w:eastAsia="Times New Roman" w:hAnsi="Times New Roman" w:cs="Times New Roman"/>
          <w:sz w:val="24"/>
          <w:szCs w:val="24"/>
        </w:rPr>
        <w:t>e para a</w:t>
      </w:r>
      <w:r w:rsidR="00D40369">
        <w:rPr>
          <w:rFonts w:ascii="Times New Roman" w:eastAsia="Times New Roman" w:hAnsi="Times New Roman" w:cs="Times New Roman"/>
          <w:sz w:val="24"/>
          <w:szCs w:val="24"/>
        </w:rPr>
        <w:t xml:space="preserve"> grande maioria das amostras houve a formação de banda única e intensa. A qualidade dos dados obtidos</w:t>
      </w:r>
      <w:r w:rsidR="00320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BA5">
        <w:rPr>
          <w:rFonts w:ascii="Times New Roman" w:eastAsia="Times New Roman" w:hAnsi="Times New Roman" w:cs="Times New Roman"/>
          <w:sz w:val="24"/>
          <w:szCs w:val="24"/>
        </w:rPr>
        <w:t>n</w:t>
      </w:r>
      <w:r w:rsidR="003200C9">
        <w:rPr>
          <w:rFonts w:ascii="Times New Roman" w:eastAsia="Times New Roman" w:hAnsi="Times New Roman" w:cs="Times New Roman"/>
          <w:sz w:val="24"/>
          <w:szCs w:val="24"/>
        </w:rPr>
        <w:t>o sequenciamento</w:t>
      </w:r>
      <w:r w:rsidR="00D40369">
        <w:rPr>
          <w:rFonts w:ascii="Times New Roman" w:eastAsia="Times New Roman" w:hAnsi="Times New Roman" w:cs="Times New Roman"/>
          <w:sz w:val="24"/>
          <w:szCs w:val="24"/>
        </w:rPr>
        <w:t xml:space="preserve"> foi avaliada com FastQC, as sequências de baixa qualidade e os adaptadores foram cortadas com Trimmomatic e o RNA </w:t>
      </w:r>
      <w:r w:rsidR="00654BA3">
        <w:rPr>
          <w:rFonts w:ascii="Times New Roman" w:eastAsia="Times New Roman" w:hAnsi="Times New Roman" w:cs="Times New Roman"/>
          <w:sz w:val="24"/>
          <w:szCs w:val="24"/>
        </w:rPr>
        <w:t xml:space="preserve">ribossomal </w:t>
      </w:r>
      <w:r w:rsidR="00D40369">
        <w:rPr>
          <w:rFonts w:ascii="Times New Roman" w:eastAsia="Times New Roman" w:hAnsi="Times New Roman" w:cs="Times New Roman"/>
          <w:sz w:val="24"/>
          <w:szCs w:val="24"/>
        </w:rPr>
        <w:t>residual foi filtrado com SortMeRNA.</w:t>
      </w:r>
      <w:r w:rsidR="00B46D07">
        <w:rPr>
          <w:rFonts w:ascii="Times New Roman" w:eastAsia="Times New Roman" w:hAnsi="Times New Roman" w:cs="Times New Roman"/>
          <w:sz w:val="24"/>
          <w:szCs w:val="24"/>
        </w:rPr>
        <w:t xml:space="preserve"> Os transcriptomas foram  montados </w:t>
      </w:r>
      <w:r w:rsidR="00A717C2">
        <w:rPr>
          <w:rFonts w:ascii="Times New Roman" w:eastAsia="Times New Roman" w:hAnsi="Times New Roman" w:cs="Times New Roman"/>
          <w:sz w:val="24"/>
          <w:szCs w:val="24"/>
        </w:rPr>
        <w:t xml:space="preserve">pela abordagem </w:t>
      </w:r>
      <w:r w:rsidR="00A717C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 novo </w:t>
      </w:r>
      <w:r w:rsidR="00A717C2">
        <w:rPr>
          <w:rFonts w:ascii="Times New Roman" w:eastAsia="Times New Roman" w:hAnsi="Times New Roman" w:cs="Times New Roman"/>
          <w:sz w:val="24"/>
          <w:szCs w:val="24"/>
        </w:rPr>
        <w:t xml:space="preserve">utilizando o </w:t>
      </w:r>
      <w:r w:rsidR="00A14CF2">
        <w:rPr>
          <w:rFonts w:ascii="Times New Roman" w:eastAsia="Times New Roman" w:hAnsi="Times New Roman" w:cs="Times New Roman"/>
          <w:sz w:val="24"/>
          <w:szCs w:val="24"/>
        </w:rPr>
        <w:t>software</w:t>
      </w:r>
      <w:r w:rsidR="006F29F7">
        <w:rPr>
          <w:rFonts w:ascii="Times New Roman" w:eastAsia="Times New Roman" w:hAnsi="Times New Roman" w:cs="Times New Roman"/>
          <w:sz w:val="24"/>
          <w:szCs w:val="24"/>
        </w:rPr>
        <w:t xml:space="preserve"> Trinity</w:t>
      </w:r>
      <w:r w:rsidR="00D40369">
        <w:rPr>
          <w:rFonts w:ascii="Times New Roman" w:eastAsia="Times New Roman" w:hAnsi="Times New Roman" w:cs="Times New Roman"/>
          <w:sz w:val="24"/>
          <w:szCs w:val="24"/>
        </w:rPr>
        <w:t xml:space="preserve">, devido à ausência de genoma de referência para a espécie. </w:t>
      </w:r>
      <w:r w:rsidR="00F44883">
        <w:rPr>
          <w:rFonts w:ascii="Times New Roman" w:eastAsia="Times New Roman" w:hAnsi="Times New Roman" w:cs="Times New Roman"/>
          <w:sz w:val="24"/>
          <w:szCs w:val="24"/>
        </w:rPr>
        <w:t>Filtramos</w:t>
      </w:r>
      <w:r w:rsidR="00D40369">
        <w:rPr>
          <w:rFonts w:ascii="Times New Roman" w:eastAsia="Times New Roman" w:hAnsi="Times New Roman" w:cs="Times New Roman"/>
          <w:sz w:val="24"/>
          <w:szCs w:val="24"/>
        </w:rPr>
        <w:t xml:space="preserve"> a redundância com o programa cd-hit e verificamos a qualidade com o BUSCO e o Bowtie2.</w:t>
      </w:r>
      <w:r w:rsidR="00A0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3C8B">
        <w:rPr>
          <w:rFonts w:ascii="Times New Roman" w:eastAsia="Times New Roman" w:hAnsi="Times New Roman" w:cs="Times New Roman"/>
          <w:sz w:val="24"/>
          <w:szCs w:val="24"/>
        </w:rPr>
        <w:t>As montagens</w:t>
      </w:r>
      <w:r w:rsidR="003D741F" w:rsidRPr="003D741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3D741F" w:rsidRPr="003D741F">
        <w:rPr>
          <w:rFonts w:ascii="Times New Roman" w:eastAsia="Times New Roman" w:hAnsi="Times New Roman" w:cs="Times New Roman"/>
          <w:i/>
          <w:iCs/>
          <w:sz w:val="24"/>
          <w:szCs w:val="24"/>
        </w:rPr>
        <w:t>M</w:t>
      </w:r>
      <w:r w:rsidR="003D741F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3D741F" w:rsidRPr="003D741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3D741F">
        <w:rPr>
          <w:rFonts w:ascii="Times New Roman" w:eastAsia="Times New Roman" w:hAnsi="Times New Roman" w:cs="Times New Roman"/>
          <w:i/>
          <w:iCs/>
          <w:sz w:val="24"/>
          <w:szCs w:val="24"/>
        </w:rPr>
        <w:t>fimbriolata</w:t>
      </w:r>
      <w:r w:rsidR="003D741F" w:rsidRPr="003D741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3D741F" w:rsidRPr="003D741F">
        <w:rPr>
          <w:rFonts w:ascii="Times New Roman" w:eastAsia="Times New Roman" w:hAnsi="Times New Roman" w:cs="Times New Roman"/>
          <w:i/>
          <w:iCs/>
          <w:sz w:val="24"/>
          <w:szCs w:val="24"/>
        </w:rPr>
        <w:t>M</w:t>
      </w:r>
      <w:r w:rsidR="003D741F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3D741F" w:rsidRPr="003D741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spectabili</w:t>
      </w:r>
      <w:r w:rsidR="003D741F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="003D741F" w:rsidRPr="003D741F">
        <w:rPr>
          <w:rFonts w:ascii="Times New Roman" w:eastAsia="Times New Roman" w:hAnsi="Times New Roman" w:cs="Times New Roman"/>
          <w:sz w:val="24"/>
          <w:szCs w:val="24"/>
        </w:rPr>
        <w:t xml:space="preserve"> resultaram em 253.894 e 197.003 contigs, respectivamente. Para identificar genes ortólogos entre as espécies, realizamos alinhamentos cruzados com BLASTn, aplicando filtros de identidade ≥ 80%, comprimento ≥ 100 pb e e-value ≤ 1e-5. </w:t>
      </w:r>
      <w:r w:rsidR="0071363D" w:rsidRPr="0071363D">
        <w:rPr>
          <w:rFonts w:ascii="Times New Roman" w:eastAsia="Times New Roman" w:hAnsi="Times New Roman" w:cs="Times New Roman"/>
          <w:sz w:val="24"/>
          <w:szCs w:val="24"/>
        </w:rPr>
        <w:t xml:space="preserve">Dos contigs de </w:t>
      </w:r>
      <w:r w:rsidR="0071363D" w:rsidRPr="0071363D">
        <w:rPr>
          <w:rFonts w:ascii="Times New Roman" w:eastAsia="Times New Roman" w:hAnsi="Times New Roman" w:cs="Times New Roman"/>
          <w:i/>
          <w:iCs/>
          <w:sz w:val="24"/>
          <w:szCs w:val="24"/>
        </w:rPr>
        <w:t>M. fimbriolata</w:t>
      </w:r>
      <w:r w:rsidR="0071363D" w:rsidRPr="0071363D">
        <w:rPr>
          <w:rFonts w:ascii="Times New Roman" w:eastAsia="Times New Roman" w:hAnsi="Times New Roman" w:cs="Times New Roman"/>
          <w:sz w:val="24"/>
          <w:szCs w:val="24"/>
        </w:rPr>
        <w:t xml:space="preserve">, 145.541 (57,3%) apresentaram similaridade com transcritos de </w:t>
      </w:r>
      <w:r w:rsidR="0071363D" w:rsidRPr="0071363D">
        <w:rPr>
          <w:rFonts w:ascii="Times New Roman" w:eastAsia="Times New Roman" w:hAnsi="Times New Roman" w:cs="Times New Roman"/>
          <w:i/>
          <w:iCs/>
          <w:sz w:val="24"/>
          <w:szCs w:val="24"/>
        </w:rPr>
        <w:t>M. spectabilis</w:t>
      </w:r>
      <w:r w:rsidR="0071363D" w:rsidRPr="0071363D">
        <w:rPr>
          <w:rFonts w:ascii="Times New Roman" w:eastAsia="Times New Roman" w:hAnsi="Times New Roman" w:cs="Times New Roman"/>
          <w:sz w:val="24"/>
          <w:szCs w:val="24"/>
        </w:rPr>
        <w:t xml:space="preserve">, enquanto 108.353 (42,7%) foram considerados exclusivos. No sentido inverso, 133.734 contigs de </w:t>
      </w:r>
      <w:r w:rsidR="0071363D" w:rsidRPr="0071363D">
        <w:rPr>
          <w:rFonts w:ascii="Times New Roman" w:eastAsia="Times New Roman" w:hAnsi="Times New Roman" w:cs="Times New Roman"/>
          <w:i/>
          <w:iCs/>
          <w:sz w:val="24"/>
          <w:szCs w:val="24"/>
        </w:rPr>
        <w:t>M. spectabili</w:t>
      </w:r>
      <w:r w:rsidR="0071363D" w:rsidRPr="0071363D">
        <w:rPr>
          <w:rFonts w:ascii="Times New Roman" w:eastAsia="Times New Roman" w:hAnsi="Times New Roman" w:cs="Times New Roman"/>
          <w:sz w:val="24"/>
          <w:szCs w:val="24"/>
        </w:rPr>
        <w:t xml:space="preserve">s (67,9%) apresentaram hits em </w:t>
      </w:r>
      <w:r w:rsidR="0071363D" w:rsidRPr="0071363D">
        <w:rPr>
          <w:rFonts w:ascii="Times New Roman" w:eastAsia="Times New Roman" w:hAnsi="Times New Roman" w:cs="Times New Roman"/>
          <w:i/>
          <w:iCs/>
          <w:sz w:val="24"/>
          <w:szCs w:val="24"/>
        </w:rPr>
        <w:t>M. fimbriolata</w:t>
      </w:r>
      <w:r w:rsidR="0071363D" w:rsidRPr="0071363D">
        <w:rPr>
          <w:rFonts w:ascii="Times New Roman" w:eastAsia="Times New Roman" w:hAnsi="Times New Roman" w:cs="Times New Roman"/>
          <w:sz w:val="24"/>
          <w:szCs w:val="24"/>
        </w:rPr>
        <w:t>, e 63.268 (32,1%) foram exclusivos. Com base na abordagem de Reciprocal Best Hits (RBH), identificamos 99.050 pares de transcritos ortólogos putativos compartilhados entre as espécies.</w:t>
      </w:r>
    </w:p>
    <w:p w14:paraId="619A3AC8" w14:textId="77777777" w:rsidR="008A0E6B" w:rsidRDefault="008A0E6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su74qfsxim7v" w:colFirst="0" w:colLast="0"/>
      <w:bookmarkEnd w:id="1"/>
    </w:p>
    <w:p w14:paraId="0000000C" w14:textId="77777777" w:rsidR="005A2ECD" w:rsidRPr="00021769" w:rsidRDefault="00D40369">
      <w:pPr>
        <w:spacing w:after="0" w:line="240" w:lineRule="auto"/>
        <w:ind w:right="109"/>
        <w:rPr>
          <w:rFonts w:ascii="Times New Roman" w:eastAsia="Times New Roman" w:hAnsi="Times New Roman" w:cs="Times New Roman"/>
          <w:sz w:val="20"/>
          <w:szCs w:val="20"/>
        </w:rPr>
      </w:pPr>
      <w:r w:rsidRPr="00021769">
        <w:rPr>
          <w:rFonts w:ascii="Times New Roman" w:eastAsia="Times New Roman" w:hAnsi="Times New Roman" w:cs="Times New Roman"/>
          <w:b/>
          <w:sz w:val="20"/>
          <w:szCs w:val="20"/>
        </w:rPr>
        <w:t>Apoio financeiro:</w:t>
      </w:r>
      <w:r w:rsidRPr="00021769">
        <w:rPr>
          <w:rFonts w:ascii="Times New Roman" w:eastAsia="Times New Roman" w:hAnsi="Times New Roman" w:cs="Times New Roman"/>
          <w:sz w:val="20"/>
          <w:szCs w:val="20"/>
        </w:rPr>
        <w:t xml:space="preserve"> CNPq</w:t>
      </w:r>
    </w:p>
    <w:p w14:paraId="0000000D" w14:textId="77777777" w:rsidR="005A2ECD" w:rsidRPr="00021769" w:rsidRDefault="00D40369">
      <w:pPr>
        <w:spacing w:after="0" w:line="240" w:lineRule="auto"/>
        <w:ind w:right="109"/>
        <w:rPr>
          <w:rFonts w:ascii="Times New Roman" w:eastAsia="Times New Roman" w:hAnsi="Times New Roman" w:cs="Times New Roman"/>
          <w:sz w:val="20"/>
          <w:szCs w:val="20"/>
        </w:rPr>
      </w:pPr>
      <w:r w:rsidRPr="00021769">
        <w:rPr>
          <w:rFonts w:ascii="Times New Roman" w:eastAsia="Times New Roman" w:hAnsi="Times New Roman" w:cs="Times New Roman"/>
          <w:b/>
          <w:sz w:val="20"/>
          <w:szCs w:val="20"/>
        </w:rPr>
        <w:t>Área:</w:t>
      </w:r>
      <w:r w:rsidRPr="00021769">
        <w:rPr>
          <w:rFonts w:ascii="Times New Roman" w:eastAsia="Times New Roman" w:hAnsi="Times New Roman" w:cs="Times New Roman"/>
          <w:sz w:val="20"/>
          <w:szCs w:val="20"/>
        </w:rPr>
        <w:t xml:space="preserve"> Ciências Biológicas</w:t>
      </w:r>
    </w:p>
    <w:p w14:paraId="0000000E" w14:textId="4DE84B91" w:rsidR="005A2ECD" w:rsidRPr="00021769" w:rsidRDefault="00D40369">
      <w:pPr>
        <w:spacing w:after="0" w:line="240" w:lineRule="auto"/>
        <w:ind w:right="109"/>
        <w:rPr>
          <w:rFonts w:ascii="Times New Roman" w:eastAsia="Times New Roman" w:hAnsi="Times New Roman" w:cs="Times New Roman"/>
          <w:sz w:val="20"/>
          <w:szCs w:val="20"/>
        </w:rPr>
      </w:pPr>
      <w:r w:rsidRPr="00021769">
        <w:rPr>
          <w:rFonts w:ascii="Times New Roman" w:eastAsia="Times New Roman" w:hAnsi="Times New Roman" w:cs="Times New Roman"/>
          <w:b/>
          <w:sz w:val="20"/>
          <w:szCs w:val="20"/>
        </w:rPr>
        <w:t xml:space="preserve">Palavras-chave: </w:t>
      </w:r>
      <w:r w:rsidRPr="00021769">
        <w:rPr>
          <w:rFonts w:ascii="Times New Roman" w:eastAsia="Times New Roman" w:hAnsi="Times New Roman" w:cs="Times New Roman"/>
          <w:sz w:val="20"/>
          <w:szCs w:val="20"/>
        </w:rPr>
        <w:t xml:space="preserve">cigarrinha-das-pastagens, </w:t>
      </w:r>
      <w:r w:rsidR="00385DED" w:rsidRPr="00021769">
        <w:rPr>
          <w:rFonts w:ascii="Times New Roman" w:eastAsia="Times New Roman" w:hAnsi="Times New Roman" w:cs="Times New Roman"/>
          <w:sz w:val="20"/>
          <w:szCs w:val="20"/>
        </w:rPr>
        <w:t>gramíneas</w:t>
      </w:r>
      <w:r w:rsidRPr="00021769">
        <w:rPr>
          <w:rFonts w:ascii="Times New Roman" w:eastAsia="Times New Roman" w:hAnsi="Times New Roman" w:cs="Times New Roman"/>
          <w:sz w:val="20"/>
          <w:szCs w:val="20"/>
        </w:rPr>
        <w:t>, RNAi, RNA-Seq.</w:t>
      </w:r>
    </w:p>
    <w:p w14:paraId="0000000F" w14:textId="77777777" w:rsidR="005A2ECD" w:rsidRPr="00021769" w:rsidRDefault="00D40369">
      <w:pPr>
        <w:spacing w:after="0" w:line="240" w:lineRule="auto"/>
        <w:ind w:right="109"/>
        <w:rPr>
          <w:rFonts w:ascii="Times New Roman" w:eastAsia="Times New Roman" w:hAnsi="Times New Roman" w:cs="Times New Roman"/>
          <w:sz w:val="20"/>
          <w:szCs w:val="20"/>
        </w:rPr>
      </w:pPr>
      <w:r w:rsidRPr="00021769">
        <w:rPr>
          <w:rFonts w:ascii="Times New Roman" w:eastAsia="Times New Roman" w:hAnsi="Times New Roman" w:cs="Times New Roman"/>
          <w:b/>
          <w:sz w:val="20"/>
          <w:szCs w:val="20"/>
        </w:rPr>
        <w:t xml:space="preserve">Número Cadastro SisGen (se aplicável): </w:t>
      </w:r>
      <w:r w:rsidRPr="00021769">
        <w:rPr>
          <w:rFonts w:ascii="Times New Roman" w:eastAsia="Times New Roman" w:hAnsi="Times New Roman" w:cs="Times New Roman"/>
          <w:sz w:val="20"/>
          <w:szCs w:val="20"/>
        </w:rPr>
        <w:t>A7276ED</w:t>
      </w:r>
    </w:p>
    <w:p w14:paraId="00000010" w14:textId="77777777" w:rsidR="005A2ECD" w:rsidRPr="00021769" w:rsidRDefault="00D4036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21769">
        <w:rPr>
          <w:rFonts w:ascii="Times New Roman" w:eastAsia="Times New Roman" w:hAnsi="Times New Roman" w:cs="Times New Roman"/>
          <w:b/>
          <w:sz w:val="20"/>
          <w:szCs w:val="20"/>
        </w:rPr>
        <w:t>N. do Processo PIBIC/PIBIT (se aplicável):</w:t>
      </w:r>
      <w:r w:rsidRPr="00021769">
        <w:rPr>
          <w:rFonts w:ascii="Times New Roman" w:eastAsia="Times New Roman" w:hAnsi="Times New Roman" w:cs="Times New Roman"/>
          <w:sz w:val="20"/>
          <w:szCs w:val="20"/>
        </w:rPr>
        <w:t xml:space="preserve"> 170909/2023-9</w:t>
      </w:r>
    </w:p>
    <w:sectPr w:rsidR="005A2ECD" w:rsidRPr="00021769">
      <w:pgSz w:w="11920" w:h="16840"/>
      <w:pgMar w:top="1418" w:right="1418" w:bottom="1418" w:left="1418" w:header="720" w:footer="720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ECD"/>
    <w:rsid w:val="0001066F"/>
    <w:rsid w:val="00021769"/>
    <w:rsid w:val="00041730"/>
    <w:rsid w:val="00087BFB"/>
    <w:rsid w:val="00101359"/>
    <w:rsid w:val="0012177F"/>
    <w:rsid w:val="001B27B0"/>
    <w:rsid w:val="001D2341"/>
    <w:rsid w:val="001D7BA5"/>
    <w:rsid w:val="001E00E0"/>
    <w:rsid w:val="00242CB1"/>
    <w:rsid w:val="002E0936"/>
    <w:rsid w:val="003200C9"/>
    <w:rsid w:val="00333B5C"/>
    <w:rsid w:val="00352444"/>
    <w:rsid w:val="00357211"/>
    <w:rsid w:val="00385DED"/>
    <w:rsid w:val="003A0632"/>
    <w:rsid w:val="003A6633"/>
    <w:rsid w:val="003D741F"/>
    <w:rsid w:val="00425A46"/>
    <w:rsid w:val="005153CB"/>
    <w:rsid w:val="00551F34"/>
    <w:rsid w:val="00581D82"/>
    <w:rsid w:val="005A2ECD"/>
    <w:rsid w:val="005A6AB5"/>
    <w:rsid w:val="005B776E"/>
    <w:rsid w:val="005B7C2A"/>
    <w:rsid w:val="005F0D32"/>
    <w:rsid w:val="005F7942"/>
    <w:rsid w:val="006544AB"/>
    <w:rsid w:val="00654BA3"/>
    <w:rsid w:val="0069461F"/>
    <w:rsid w:val="00696E5E"/>
    <w:rsid w:val="006D3219"/>
    <w:rsid w:val="006E4833"/>
    <w:rsid w:val="006F29F7"/>
    <w:rsid w:val="0071363D"/>
    <w:rsid w:val="00723F02"/>
    <w:rsid w:val="00733C8B"/>
    <w:rsid w:val="00743E37"/>
    <w:rsid w:val="00752F8D"/>
    <w:rsid w:val="00760654"/>
    <w:rsid w:val="007E1B09"/>
    <w:rsid w:val="007E64D6"/>
    <w:rsid w:val="00844CBB"/>
    <w:rsid w:val="00846A12"/>
    <w:rsid w:val="00850C17"/>
    <w:rsid w:val="008A0E6B"/>
    <w:rsid w:val="008B4154"/>
    <w:rsid w:val="008D3D15"/>
    <w:rsid w:val="008F73F9"/>
    <w:rsid w:val="009072AD"/>
    <w:rsid w:val="00952308"/>
    <w:rsid w:val="0099468A"/>
    <w:rsid w:val="009A4450"/>
    <w:rsid w:val="009D5285"/>
    <w:rsid w:val="00A05B97"/>
    <w:rsid w:val="00A14CF2"/>
    <w:rsid w:val="00A717C2"/>
    <w:rsid w:val="00A75140"/>
    <w:rsid w:val="00AC093F"/>
    <w:rsid w:val="00B06954"/>
    <w:rsid w:val="00B101B1"/>
    <w:rsid w:val="00B12569"/>
    <w:rsid w:val="00B46D07"/>
    <w:rsid w:val="00B8113F"/>
    <w:rsid w:val="00BA1F59"/>
    <w:rsid w:val="00BA4F40"/>
    <w:rsid w:val="00BC2B3E"/>
    <w:rsid w:val="00C220CE"/>
    <w:rsid w:val="00C40142"/>
    <w:rsid w:val="00C45557"/>
    <w:rsid w:val="00C610BC"/>
    <w:rsid w:val="00C74CBF"/>
    <w:rsid w:val="00CF069D"/>
    <w:rsid w:val="00D1578A"/>
    <w:rsid w:val="00D2745F"/>
    <w:rsid w:val="00D40369"/>
    <w:rsid w:val="00D40E94"/>
    <w:rsid w:val="00D9171E"/>
    <w:rsid w:val="00DD126E"/>
    <w:rsid w:val="00E40E93"/>
    <w:rsid w:val="00E42546"/>
    <w:rsid w:val="00E527EB"/>
    <w:rsid w:val="00E64BC9"/>
    <w:rsid w:val="00E77959"/>
    <w:rsid w:val="00EB0CE8"/>
    <w:rsid w:val="00ED2547"/>
    <w:rsid w:val="00EE48A6"/>
    <w:rsid w:val="00EF095B"/>
    <w:rsid w:val="00EF5DEE"/>
    <w:rsid w:val="00EF619C"/>
    <w:rsid w:val="00F44883"/>
    <w:rsid w:val="00F759EB"/>
    <w:rsid w:val="00F80E14"/>
    <w:rsid w:val="00FA5C9B"/>
    <w:rsid w:val="00FD2187"/>
    <w:rsid w:val="00FE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35E6"/>
  <w15:docId w15:val="{F61511A8-EFC6-49BA-BDFA-DD18816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5E1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2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8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7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QWPx/szNstgi6e1Iqj3QKHa0EQ==">CgMxLjAyCGguZ2pkZ3hzMg5oLnN1NzRxZnN4aW03djgAciExVVJJMktyVjhHNTdMV2dzb0d4eEVleWhJVm9McWhvU3A=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Fernando</dc:creator>
  <cp:lastModifiedBy>Gustavo Fernando</cp:lastModifiedBy>
  <cp:revision>2</cp:revision>
  <cp:lastPrinted>2025-07-10T22:53:00Z</cp:lastPrinted>
  <dcterms:created xsi:type="dcterms:W3CDTF">2025-07-31T19:37:00Z</dcterms:created>
  <dcterms:modified xsi:type="dcterms:W3CDTF">2025-07-31T19:37:00Z</dcterms:modified>
</cp:coreProperties>
</file>