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3F52" w14:textId="03759E8E" w:rsidR="00A94D73" w:rsidRDefault="00285FD5" w:rsidP="00A94D73">
      <w:pPr>
        <w:ind w:firstLine="0"/>
        <w:jc w:val="center"/>
        <w:rPr>
          <w:rFonts w:ascii="Times New Roman" w:hAnsi="Times New Roman" w:cs="Times New Roman"/>
          <w:b/>
          <w:snapToGrid w:val="0"/>
          <w:sz w:val="28"/>
        </w:rPr>
      </w:pPr>
      <w:r>
        <w:rPr>
          <w:rFonts w:ascii="Times New Roman" w:hAnsi="Times New Roman" w:cs="Times New Roman"/>
          <w:b/>
          <w:snapToGrid w:val="0"/>
          <w:sz w:val="28"/>
        </w:rPr>
        <w:t xml:space="preserve">Estudo da relação entre a </w:t>
      </w:r>
      <w:r w:rsidR="00295A18">
        <w:rPr>
          <w:rFonts w:ascii="Times New Roman" w:hAnsi="Times New Roman" w:cs="Times New Roman"/>
          <w:b/>
          <w:snapToGrid w:val="0"/>
          <w:sz w:val="28"/>
        </w:rPr>
        <w:t>termografia infravermelha</w:t>
      </w:r>
      <w:r>
        <w:rPr>
          <w:rFonts w:ascii="Times New Roman" w:hAnsi="Times New Roman" w:cs="Times New Roman"/>
          <w:b/>
          <w:snapToGrid w:val="0"/>
          <w:sz w:val="28"/>
        </w:rPr>
        <w:t xml:space="preserve"> e outros métodos diagnósticos da</w:t>
      </w:r>
      <w:r w:rsidR="00A94D73">
        <w:rPr>
          <w:rFonts w:ascii="Times New Roman" w:hAnsi="Times New Roman" w:cs="Times New Roman"/>
          <w:b/>
          <w:snapToGrid w:val="0"/>
          <w:sz w:val="28"/>
        </w:rPr>
        <w:t xml:space="preserve"> mastite subclínica bovina</w:t>
      </w:r>
    </w:p>
    <w:p w14:paraId="124492DA" w14:textId="77777777" w:rsidR="00A94D73" w:rsidRDefault="00A94D73" w:rsidP="00A94D73">
      <w:pPr>
        <w:ind w:firstLine="0"/>
        <w:jc w:val="center"/>
        <w:rPr>
          <w:rFonts w:ascii="Times New Roman" w:hAnsi="Times New Roman" w:cs="Times New Roman"/>
          <w:b/>
          <w:snapToGrid w:val="0"/>
          <w:sz w:val="28"/>
        </w:rPr>
      </w:pPr>
    </w:p>
    <w:p w14:paraId="6A04F9CC" w14:textId="26CA9E86" w:rsidR="00F61E4E" w:rsidRDefault="000C2C7D" w:rsidP="00F61E4E">
      <w:pPr>
        <w:jc w:val="center"/>
        <w:rPr>
          <w:rFonts w:ascii="Times New Roman" w:hAnsi="Times New Roman" w:cs="Times New Roman"/>
          <w:snapToGrid w:val="0"/>
          <w:sz w:val="22"/>
          <w:szCs w:val="22"/>
          <w:vertAlign w:val="superscript"/>
        </w:rPr>
      </w:pPr>
      <w:r>
        <w:rPr>
          <w:rFonts w:ascii="Times New Roman" w:hAnsi="Times New Roman" w:cs="Times New Roman"/>
          <w:snapToGrid w:val="0"/>
          <w:sz w:val="22"/>
          <w:szCs w:val="22"/>
          <w:u w:val="single"/>
        </w:rPr>
        <w:t>Maria Laura da Silva</w:t>
      </w:r>
      <w:r w:rsidR="00F61E4E" w:rsidRPr="002E0A8D">
        <w:rPr>
          <w:rFonts w:ascii="Times New Roman" w:hAnsi="Times New Roman" w:cs="Times New Roman"/>
          <w:snapToGrid w:val="0"/>
          <w:sz w:val="22"/>
          <w:szCs w:val="22"/>
          <w:vertAlign w:val="superscript"/>
        </w:rPr>
        <w:t>1</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Larissa Cristina Brassolatti</w:t>
      </w:r>
      <w:r w:rsidR="00F61E4E" w:rsidRPr="002E0A8D">
        <w:rPr>
          <w:rFonts w:ascii="Times New Roman" w:hAnsi="Times New Roman" w:cs="Times New Roman"/>
          <w:snapToGrid w:val="0"/>
          <w:sz w:val="22"/>
          <w:szCs w:val="22"/>
          <w:vertAlign w:val="superscript"/>
        </w:rPr>
        <w:t>2</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Fernando David Caracuschanski</w:t>
      </w:r>
      <w:r w:rsidR="00F238A8">
        <w:rPr>
          <w:rFonts w:ascii="Times New Roman" w:hAnsi="Times New Roman" w:cs="Times New Roman"/>
          <w:snapToGrid w:val="0"/>
          <w:sz w:val="22"/>
          <w:szCs w:val="22"/>
          <w:vertAlign w:val="superscript"/>
        </w:rPr>
        <w:t>2</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Raul Costa Mascarenhas Santana</w:t>
      </w:r>
      <w:r w:rsidR="00F238A8">
        <w:rPr>
          <w:rFonts w:ascii="Times New Roman" w:hAnsi="Times New Roman" w:cs="Times New Roman"/>
          <w:snapToGrid w:val="0"/>
          <w:sz w:val="22"/>
          <w:szCs w:val="22"/>
          <w:vertAlign w:val="superscript"/>
        </w:rPr>
        <w:t>3</w:t>
      </w:r>
      <w:r w:rsidR="00F61E4E" w:rsidRPr="002E0A8D">
        <w:rPr>
          <w:rFonts w:ascii="Times New Roman" w:hAnsi="Times New Roman" w:cs="Times New Roman"/>
          <w:snapToGrid w:val="0"/>
          <w:sz w:val="22"/>
          <w:szCs w:val="22"/>
        </w:rPr>
        <w:t>;</w:t>
      </w:r>
      <w:r w:rsidR="00F238A8">
        <w:rPr>
          <w:rFonts w:ascii="Times New Roman" w:hAnsi="Times New Roman" w:cs="Times New Roman"/>
          <w:snapToGrid w:val="0"/>
          <w:sz w:val="22"/>
          <w:szCs w:val="22"/>
        </w:rPr>
        <w:t xml:space="preserve"> Edilson da Silva Guimarães</w:t>
      </w:r>
      <w:r w:rsidR="00F238A8">
        <w:rPr>
          <w:rFonts w:ascii="Times New Roman" w:hAnsi="Times New Roman" w:cs="Times New Roman"/>
          <w:snapToGrid w:val="0"/>
          <w:sz w:val="22"/>
          <w:szCs w:val="22"/>
          <w:vertAlign w:val="superscript"/>
        </w:rPr>
        <w:t>3</w:t>
      </w:r>
      <w:r w:rsidR="00F238A8">
        <w:rPr>
          <w:rFonts w:ascii="Times New Roman" w:hAnsi="Times New Roman" w:cs="Times New Roman"/>
          <w:snapToGrid w:val="0"/>
          <w:sz w:val="22"/>
          <w:szCs w:val="22"/>
        </w:rPr>
        <w:t>;</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Christine Elisabeth Grudzinski</w:t>
      </w:r>
      <w:r w:rsidR="00F238A8">
        <w:rPr>
          <w:rFonts w:ascii="Times New Roman" w:hAnsi="Times New Roman" w:cs="Times New Roman"/>
          <w:snapToGrid w:val="0"/>
          <w:sz w:val="22"/>
          <w:szCs w:val="22"/>
          <w:vertAlign w:val="superscript"/>
        </w:rPr>
        <w:t>4</w:t>
      </w:r>
      <w:r w:rsidR="00F238A8">
        <w:rPr>
          <w:rFonts w:ascii="Times New Roman" w:hAnsi="Times New Roman" w:cs="Times New Roman"/>
          <w:snapToGrid w:val="0"/>
          <w:sz w:val="22"/>
          <w:szCs w:val="22"/>
        </w:rPr>
        <w:t xml:space="preserve">; Teresa Cristina </w:t>
      </w:r>
      <w:r w:rsidR="00F238A8" w:rsidRPr="00F238A8">
        <w:rPr>
          <w:rFonts w:ascii="Times New Roman" w:hAnsi="Times New Roman" w:cs="Times New Roman"/>
          <w:snapToGrid w:val="0"/>
          <w:sz w:val="22"/>
          <w:szCs w:val="22"/>
        </w:rPr>
        <w:t>Alves</w:t>
      </w:r>
      <w:r w:rsidR="00F238A8">
        <w:rPr>
          <w:rFonts w:ascii="Times New Roman" w:hAnsi="Times New Roman" w:cs="Times New Roman"/>
          <w:snapToGrid w:val="0"/>
          <w:sz w:val="22"/>
          <w:szCs w:val="22"/>
          <w:vertAlign w:val="superscript"/>
        </w:rPr>
        <w:t>5</w:t>
      </w:r>
      <w:r w:rsidR="00F238A8">
        <w:rPr>
          <w:rFonts w:ascii="Times New Roman" w:hAnsi="Times New Roman" w:cs="Times New Roman"/>
          <w:snapToGrid w:val="0"/>
          <w:sz w:val="22"/>
          <w:szCs w:val="22"/>
        </w:rPr>
        <w:t xml:space="preserve">; </w:t>
      </w:r>
      <w:r w:rsidRPr="00F238A8">
        <w:rPr>
          <w:rFonts w:ascii="Times New Roman" w:hAnsi="Times New Roman" w:cs="Times New Roman"/>
          <w:snapToGrid w:val="0"/>
          <w:sz w:val="22"/>
          <w:szCs w:val="22"/>
        </w:rPr>
        <w:t>Alexandre</w:t>
      </w:r>
      <w:r>
        <w:rPr>
          <w:rFonts w:ascii="Times New Roman" w:hAnsi="Times New Roman" w:cs="Times New Roman"/>
          <w:snapToGrid w:val="0"/>
          <w:sz w:val="22"/>
          <w:szCs w:val="22"/>
        </w:rPr>
        <w:t xml:space="preserve"> Rossetto Garcia</w:t>
      </w:r>
      <w:r w:rsidR="00F238A8">
        <w:rPr>
          <w:rFonts w:ascii="Times New Roman" w:hAnsi="Times New Roman" w:cs="Times New Roman"/>
          <w:snapToGrid w:val="0"/>
          <w:sz w:val="22"/>
          <w:szCs w:val="22"/>
          <w:vertAlign w:val="superscript"/>
        </w:rPr>
        <w:t>5</w:t>
      </w:r>
      <w:r w:rsidR="00F238A8">
        <w:rPr>
          <w:rFonts w:ascii="Times New Roman" w:hAnsi="Times New Roman" w:cs="Times New Roman"/>
          <w:snapToGrid w:val="0"/>
          <w:sz w:val="22"/>
          <w:szCs w:val="22"/>
        </w:rPr>
        <w:t>;</w:t>
      </w:r>
      <w:r>
        <w:rPr>
          <w:rFonts w:ascii="Times New Roman" w:hAnsi="Times New Roman" w:cs="Times New Roman"/>
          <w:snapToGrid w:val="0"/>
          <w:sz w:val="22"/>
          <w:szCs w:val="22"/>
        </w:rPr>
        <w:t xml:space="preserve"> Luiz Francisco Zafalon</w:t>
      </w:r>
      <w:r w:rsidR="00F238A8">
        <w:rPr>
          <w:rFonts w:ascii="Times New Roman" w:hAnsi="Times New Roman" w:cs="Times New Roman"/>
          <w:snapToGrid w:val="0"/>
          <w:sz w:val="22"/>
          <w:szCs w:val="22"/>
          <w:vertAlign w:val="superscript"/>
        </w:rPr>
        <w:t>5</w:t>
      </w:r>
    </w:p>
    <w:p w14:paraId="6479BB77" w14:textId="77777777" w:rsidR="004E075C" w:rsidRPr="000C2C7D" w:rsidRDefault="004E075C" w:rsidP="00F61E4E">
      <w:pPr>
        <w:jc w:val="center"/>
        <w:rPr>
          <w:rFonts w:ascii="Times New Roman" w:hAnsi="Times New Roman" w:cs="Times New Roman"/>
          <w:snapToGrid w:val="0"/>
          <w:sz w:val="22"/>
          <w:szCs w:val="22"/>
        </w:rPr>
      </w:pPr>
    </w:p>
    <w:p w14:paraId="5BEFE9F0" w14:textId="77777777" w:rsidR="00F61E4E" w:rsidRPr="00F61E4E" w:rsidRDefault="00F61E4E" w:rsidP="00F61E4E">
      <w:pPr>
        <w:shd w:val="clear" w:color="auto" w:fill="FFFFFF"/>
        <w:jc w:val="center"/>
        <w:rPr>
          <w:rFonts w:ascii="Times New Roman" w:hAnsi="Times New Roman" w:cs="Times New Roman"/>
        </w:rPr>
      </w:pPr>
    </w:p>
    <w:p w14:paraId="1DEE8C6F" w14:textId="266CABDA"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Pr="002E0A8D">
        <w:rPr>
          <w:rFonts w:ascii="Times New Roman" w:hAnsi="Times New Roman" w:cs="Times New Roman"/>
          <w:snapToGrid w:val="0"/>
          <w:sz w:val="20"/>
          <w:szCs w:val="20"/>
        </w:rPr>
        <w:t>Alun</w:t>
      </w:r>
      <w:r w:rsidR="00352EF8">
        <w:rPr>
          <w:rFonts w:ascii="Times New Roman" w:hAnsi="Times New Roman" w:cs="Times New Roman"/>
          <w:snapToGrid w:val="0"/>
          <w:sz w:val="20"/>
          <w:szCs w:val="20"/>
        </w:rPr>
        <w:t>a</w:t>
      </w:r>
      <w:r w:rsidRPr="002E0A8D">
        <w:rPr>
          <w:rFonts w:ascii="Times New Roman" w:hAnsi="Times New Roman" w:cs="Times New Roman"/>
          <w:snapToGrid w:val="0"/>
          <w:sz w:val="20"/>
          <w:szCs w:val="20"/>
        </w:rPr>
        <w:t xml:space="preserve"> de graduação em </w:t>
      </w:r>
      <w:r w:rsidR="000C2C7D">
        <w:rPr>
          <w:rFonts w:ascii="Times New Roman" w:hAnsi="Times New Roman" w:cs="Times New Roman"/>
          <w:snapToGrid w:val="0"/>
          <w:sz w:val="20"/>
          <w:szCs w:val="20"/>
        </w:rPr>
        <w:t>Medicina Veterinária</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 xml:space="preserve">Centro </w:t>
      </w:r>
      <w:r w:rsidRPr="002E0A8D">
        <w:rPr>
          <w:rFonts w:ascii="Times New Roman" w:hAnsi="Times New Roman" w:cs="Times New Roman"/>
          <w:snapToGrid w:val="0"/>
          <w:sz w:val="20"/>
          <w:szCs w:val="20"/>
        </w:rPr>
        <w:t>Universi</w:t>
      </w:r>
      <w:r w:rsidR="000C2C7D">
        <w:rPr>
          <w:rFonts w:ascii="Times New Roman" w:hAnsi="Times New Roman" w:cs="Times New Roman"/>
          <w:snapToGrid w:val="0"/>
          <w:sz w:val="20"/>
          <w:szCs w:val="20"/>
        </w:rPr>
        <w:t>tário</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Central Paulista</w:t>
      </w:r>
      <w:r w:rsidRPr="002E0A8D">
        <w:rPr>
          <w:rFonts w:ascii="Times New Roman" w:hAnsi="Times New Roman" w:cs="Times New Roman"/>
          <w:snapToGrid w:val="0"/>
          <w:sz w:val="20"/>
          <w:szCs w:val="20"/>
        </w:rPr>
        <w:t>, São Carlos, SP. Bolsista PIBI</w:t>
      </w:r>
      <w:r w:rsidR="00F238A8">
        <w:rPr>
          <w:rFonts w:ascii="Times New Roman" w:hAnsi="Times New Roman" w:cs="Times New Roman"/>
          <w:snapToGrid w:val="0"/>
          <w:sz w:val="20"/>
          <w:szCs w:val="20"/>
        </w:rPr>
        <w:t>TI</w:t>
      </w:r>
      <w:r w:rsidRPr="002E0A8D">
        <w:rPr>
          <w:rFonts w:ascii="Times New Roman" w:hAnsi="Times New Roman" w:cs="Times New Roman"/>
          <w:snapToGrid w:val="0"/>
          <w:sz w:val="20"/>
          <w:szCs w:val="20"/>
        </w:rPr>
        <w:t xml:space="preserve">/CNPq, Embrapa </w:t>
      </w:r>
      <w:r w:rsidR="000C2C7D">
        <w:rPr>
          <w:rFonts w:ascii="Times New Roman" w:hAnsi="Times New Roman" w:cs="Times New Roman"/>
          <w:snapToGrid w:val="0"/>
          <w:sz w:val="20"/>
          <w:szCs w:val="20"/>
        </w:rPr>
        <w:t>Pecuária Sudeste</w:t>
      </w:r>
      <w:r w:rsidRPr="002E0A8D">
        <w:rPr>
          <w:rFonts w:ascii="Times New Roman" w:hAnsi="Times New Roman" w:cs="Times New Roman"/>
          <w:snapToGrid w:val="0"/>
          <w:sz w:val="20"/>
          <w:szCs w:val="20"/>
        </w:rPr>
        <w:t xml:space="preserve">, São Carlos, SP; </w:t>
      </w:r>
      <w:r w:rsidR="000C2C7D">
        <w:rPr>
          <w:rFonts w:ascii="Times New Roman" w:hAnsi="Times New Roman" w:cs="Times New Roman"/>
          <w:snapToGrid w:val="0"/>
          <w:sz w:val="20"/>
          <w:szCs w:val="20"/>
        </w:rPr>
        <w:t>marialaura2106</w:t>
      </w:r>
      <w:r w:rsidRPr="002E0A8D">
        <w:rPr>
          <w:rFonts w:ascii="Times New Roman" w:hAnsi="Times New Roman" w:cs="Times New Roman"/>
          <w:snapToGrid w:val="0"/>
          <w:sz w:val="20"/>
          <w:szCs w:val="20"/>
        </w:rPr>
        <w:t>@</w:t>
      </w:r>
      <w:r w:rsidR="000C2C7D">
        <w:rPr>
          <w:rFonts w:ascii="Times New Roman" w:hAnsi="Times New Roman" w:cs="Times New Roman"/>
          <w:snapToGrid w:val="0"/>
          <w:sz w:val="20"/>
          <w:szCs w:val="20"/>
        </w:rPr>
        <w:t>gmail</w:t>
      </w:r>
      <w:r w:rsidRPr="002E0A8D">
        <w:rPr>
          <w:rFonts w:ascii="Times New Roman" w:hAnsi="Times New Roman" w:cs="Times New Roman"/>
          <w:snapToGrid w:val="0"/>
          <w:sz w:val="20"/>
          <w:szCs w:val="20"/>
        </w:rPr>
        <w:t>.com</w:t>
      </w:r>
    </w:p>
    <w:p w14:paraId="61A910AD" w14:textId="3C72CBFD" w:rsidR="00F61E4E" w:rsidRPr="002E0A8D" w:rsidRDefault="00F61E4E" w:rsidP="00F238A8">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2</w:t>
      </w:r>
      <w:r w:rsidRPr="002E0A8D">
        <w:rPr>
          <w:rFonts w:ascii="Times New Roman" w:hAnsi="Times New Roman" w:cs="Times New Roman"/>
          <w:snapToGrid w:val="0"/>
          <w:sz w:val="20"/>
          <w:szCs w:val="20"/>
        </w:rPr>
        <w:t>Alun</w:t>
      </w:r>
      <w:r w:rsidR="00F238A8">
        <w:rPr>
          <w:rFonts w:ascii="Times New Roman" w:hAnsi="Times New Roman" w:cs="Times New Roman"/>
          <w:snapToGrid w:val="0"/>
          <w:sz w:val="20"/>
          <w:szCs w:val="20"/>
        </w:rPr>
        <w:t>o(a)</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 xml:space="preserve">do programa de pós graduação em Ciências Veterinárias, </w:t>
      </w:r>
      <w:r w:rsidR="00F238A8">
        <w:rPr>
          <w:rFonts w:ascii="Times New Roman" w:hAnsi="Times New Roman" w:cs="Times New Roman"/>
          <w:snapToGrid w:val="0"/>
          <w:sz w:val="20"/>
          <w:szCs w:val="20"/>
        </w:rPr>
        <w:t>FCAV/Unesp</w:t>
      </w:r>
      <w:r w:rsidR="000C2C7D">
        <w:rPr>
          <w:rFonts w:ascii="Times New Roman" w:hAnsi="Times New Roman" w:cs="Times New Roman"/>
          <w:snapToGrid w:val="0"/>
          <w:sz w:val="20"/>
          <w:szCs w:val="20"/>
        </w:rPr>
        <w:t xml:space="preserve">, Jaboticabal, SP. </w:t>
      </w:r>
    </w:p>
    <w:p w14:paraId="2DF1AE5E" w14:textId="011138CE" w:rsidR="00F61E4E" w:rsidRPr="002E0A8D" w:rsidRDefault="00F238A8" w:rsidP="00F61E4E">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3</w:t>
      </w:r>
      <w:r>
        <w:rPr>
          <w:rFonts w:ascii="Times New Roman" w:hAnsi="Times New Roman" w:cs="Times New Roman"/>
          <w:snapToGrid w:val="0"/>
          <w:sz w:val="20"/>
          <w:szCs w:val="20"/>
        </w:rPr>
        <w:t>Analista da Embrapa Pecuária Sudeste, São Carlos, SP.</w:t>
      </w:r>
    </w:p>
    <w:p w14:paraId="2BBB06BE" w14:textId="5F9E8E85" w:rsidR="00F61E4E" w:rsidRDefault="00F238A8" w:rsidP="00F61E4E">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4</w:t>
      </w:r>
      <w:r>
        <w:rPr>
          <w:rFonts w:ascii="Times New Roman" w:hAnsi="Times New Roman" w:cs="Times New Roman"/>
          <w:snapToGrid w:val="0"/>
          <w:sz w:val="20"/>
          <w:szCs w:val="20"/>
        </w:rPr>
        <w:t>Aluna do programa de pós graduação em Reprodução Animal, Universidade de São Paulo, USP.</w:t>
      </w:r>
    </w:p>
    <w:p w14:paraId="116848E7" w14:textId="51C28ADE" w:rsidR="00F238A8" w:rsidRPr="00F238A8" w:rsidRDefault="00F238A8" w:rsidP="00F238A8">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5</w:t>
      </w:r>
      <w:r>
        <w:rPr>
          <w:rFonts w:ascii="Times New Roman" w:hAnsi="Times New Roman" w:cs="Times New Roman"/>
          <w:snapToGrid w:val="0"/>
          <w:sz w:val="20"/>
          <w:szCs w:val="20"/>
        </w:rPr>
        <w:t>Pesquisador(a) da Embrapa Pecuária Sudeste.</w:t>
      </w:r>
    </w:p>
    <w:p w14:paraId="40FE8283" w14:textId="77777777" w:rsidR="00F61E4E" w:rsidRPr="00F61E4E" w:rsidRDefault="00F61E4E" w:rsidP="00F61E4E">
      <w:pPr>
        <w:jc w:val="both"/>
        <w:rPr>
          <w:rFonts w:ascii="Times New Roman" w:hAnsi="Times New Roman" w:cs="Times New Roman"/>
          <w:sz w:val="18"/>
          <w:szCs w:val="18"/>
        </w:rPr>
      </w:pPr>
    </w:p>
    <w:p w14:paraId="32BAFCFD" w14:textId="42B20A97" w:rsidR="00F61E4E" w:rsidRDefault="00352EF8" w:rsidP="00F61E4E">
      <w:pPr>
        <w:pStyle w:val="Corpodetexto"/>
        <w:spacing w:line="240" w:lineRule="auto"/>
        <w:rPr>
          <w:rFonts w:ascii="Times New Roman" w:hAnsi="Times New Roman"/>
          <w:szCs w:val="24"/>
        </w:rPr>
      </w:pPr>
      <w:r>
        <w:rPr>
          <w:rFonts w:ascii="Times New Roman" w:hAnsi="Times New Roman"/>
          <w:snapToGrid w:val="0"/>
        </w:rPr>
        <w:t>A mastite</w:t>
      </w:r>
      <w:r w:rsidR="00084B39">
        <w:rPr>
          <w:rFonts w:ascii="Times New Roman" w:hAnsi="Times New Roman"/>
          <w:snapToGrid w:val="0"/>
        </w:rPr>
        <w:t xml:space="preserve"> bovina</w:t>
      </w:r>
      <w:r>
        <w:rPr>
          <w:rFonts w:ascii="Times New Roman" w:hAnsi="Times New Roman"/>
          <w:snapToGrid w:val="0"/>
        </w:rPr>
        <w:t xml:space="preserve"> é um processo inflamatório da glândula mamária</w:t>
      </w:r>
      <w:r w:rsidR="00F44495">
        <w:rPr>
          <w:rFonts w:ascii="Times New Roman" w:hAnsi="Times New Roman"/>
          <w:snapToGrid w:val="0"/>
        </w:rPr>
        <w:t xml:space="preserve"> com origem principalmente infecciosa.</w:t>
      </w:r>
      <w:r w:rsidR="00BA3E6D">
        <w:rPr>
          <w:rFonts w:ascii="Times New Roman" w:hAnsi="Times New Roman"/>
          <w:snapToGrid w:val="0"/>
        </w:rPr>
        <w:t xml:space="preserve"> </w:t>
      </w:r>
      <w:r w:rsidR="00BA3E6D" w:rsidRPr="00BA3E6D">
        <w:rPr>
          <w:rFonts w:ascii="Times New Roman" w:hAnsi="Times New Roman"/>
          <w:szCs w:val="24"/>
        </w:rPr>
        <w:t>A detecção da forma subclínica</w:t>
      </w:r>
      <w:r w:rsidR="00F44495">
        <w:rPr>
          <w:rFonts w:ascii="Times New Roman" w:hAnsi="Times New Roman"/>
          <w:szCs w:val="24"/>
        </w:rPr>
        <w:t xml:space="preserve"> da doença</w:t>
      </w:r>
      <w:r w:rsidR="00BA3E6D" w:rsidRPr="00BA3E6D">
        <w:rPr>
          <w:rFonts w:ascii="Times New Roman" w:hAnsi="Times New Roman"/>
          <w:szCs w:val="24"/>
        </w:rPr>
        <w:t xml:space="preserve"> </w:t>
      </w:r>
      <w:r w:rsidR="00BA3E6D">
        <w:rPr>
          <w:rFonts w:ascii="Times New Roman" w:hAnsi="Times New Roman"/>
          <w:szCs w:val="24"/>
        </w:rPr>
        <w:t>é</w:t>
      </w:r>
      <w:r w:rsidR="00BA3E6D" w:rsidRPr="00BA3E6D">
        <w:rPr>
          <w:rFonts w:ascii="Times New Roman" w:hAnsi="Times New Roman"/>
          <w:szCs w:val="24"/>
        </w:rPr>
        <w:t xml:space="preserve"> útil para a identificação do agente causal da mastite e</w:t>
      </w:r>
      <w:r w:rsidR="00F44495">
        <w:rPr>
          <w:rFonts w:ascii="Times New Roman" w:hAnsi="Times New Roman"/>
          <w:szCs w:val="24"/>
        </w:rPr>
        <w:t xml:space="preserve"> </w:t>
      </w:r>
      <w:r w:rsidR="00CE40F7">
        <w:rPr>
          <w:rFonts w:ascii="Times New Roman" w:hAnsi="Times New Roman"/>
          <w:szCs w:val="24"/>
        </w:rPr>
        <w:t>estabelecimento</w:t>
      </w:r>
      <w:r w:rsidR="00F44495">
        <w:rPr>
          <w:rFonts w:ascii="Times New Roman" w:hAnsi="Times New Roman"/>
          <w:szCs w:val="24"/>
        </w:rPr>
        <w:t xml:space="preserve"> de métodos de controle</w:t>
      </w:r>
      <w:r w:rsidR="00C47A7D">
        <w:rPr>
          <w:rFonts w:ascii="Times New Roman" w:hAnsi="Times New Roman"/>
          <w:szCs w:val="24"/>
        </w:rPr>
        <w:t>.</w:t>
      </w:r>
      <w:r w:rsidR="00F61E4E" w:rsidRPr="00F61E4E">
        <w:rPr>
          <w:rFonts w:ascii="Times New Roman" w:hAnsi="Times New Roman"/>
          <w:snapToGrid w:val="0"/>
        </w:rPr>
        <w:t xml:space="preserve"> </w:t>
      </w:r>
      <w:r w:rsidR="00134A3C">
        <w:rPr>
          <w:rFonts w:ascii="Times New Roman" w:hAnsi="Times New Roman"/>
          <w:snapToGrid w:val="0"/>
        </w:rPr>
        <w:t>Objetivou-se no presente trabalho</w:t>
      </w:r>
      <w:r w:rsidR="007503A4" w:rsidRPr="003109A3">
        <w:rPr>
          <w:rFonts w:ascii="Times New Roman" w:hAnsi="Times New Roman"/>
          <w:snapToGrid w:val="0"/>
        </w:rPr>
        <w:t xml:space="preserve"> </w:t>
      </w:r>
      <w:r w:rsidR="00BA3E6D" w:rsidRPr="003109A3">
        <w:rPr>
          <w:rFonts w:ascii="Times New Roman" w:hAnsi="Times New Roman"/>
          <w:snapToGrid w:val="0"/>
        </w:rPr>
        <w:t>ampliar as informações sobre técnicas como a termografia infravermelha (TIV) e a condutividade elétrica (CE)</w:t>
      </w:r>
      <w:r w:rsidR="003109A3" w:rsidRPr="003109A3">
        <w:rPr>
          <w:rFonts w:ascii="Times New Roman" w:hAnsi="Times New Roman"/>
          <w:snapToGrid w:val="0"/>
        </w:rPr>
        <w:t xml:space="preserve"> </w:t>
      </w:r>
      <w:r w:rsidR="00BA3E6D" w:rsidRPr="003109A3">
        <w:rPr>
          <w:rFonts w:ascii="Times New Roman" w:hAnsi="Times New Roman"/>
          <w:snapToGrid w:val="0"/>
        </w:rPr>
        <w:t>como ferramentas diagnósticas auxiliares da mastite subclínica</w:t>
      </w:r>
      <w:r w:rsidR="00C47A7D" w:rsidRPr="003109A3">
        <w:rPr>
          <w:rFonts w:ascii="Times New Roman" w:hAnsi="Times New Roman"/>
          <w:snapToGrid w:val="0"/>
        </w:rPr>
        <w:t>.</w:t>
      </w:r>
      <w:r w:rsidR="00D0339C" w:rsidRPr="00D0339C">
        <w:rPr>
          <w:rFonts w:ascii="Times New Roman" w:hAnsi="Times New Roman"/>
          <w:snapToGrid w:val="0"/>
        </w:rPr>
        <w:t xml:space="preserve"> </w:t>
      </w:r>
      <w:r w:rsidR="00D0339C" w:rsidRPr="00CE40F7">
        <w:rPr>
          <w:rFonts w:ascii="Times New Roman" w:eastAsia="Calibri" w:hAnsi="Times New Roman"/>
          <w:szCs w:val="24"/>
          <w:lang w:eastAsia="en-US"/>
        </w:rPr>
        <w:t xml:space="preserve">As temperaturas das glândulas foram obtidas por meio de </w:t>
      </w:r>
      <w:r w:rsidR="003109A3">
        <w:rPr>
          <w:rFonts w:ascii="Times New Roman" w:eastAsia="Calibri" w:hAnsi="Times New Roman"/>
          <w:szCs w:val="24"/>
          <w:lang w:eastAsia="en-US"/>
        </w:rPr>
        <w:t>TIV</w:t>
      </w:r>
      <w:r w:rsidR="00D0339C" w:rsidRPr="00CE40F7">
        <w:rPr>
          <w:rFonts w:ascii="Times New Roman" w:eastAsia="Calibri" w:hAnsi="Times New Roman"/>
          <w:szCs w:val="24"/>
          <w:lang w:eastAsia="en-US"/>
        </w:rPr>
        <w:t xml:space="preserve">, enquanto os valores de CE foram fornecidos pelo sistema de ordenha robótica. A etiologia infecciosa da doença foi confirmada laboratorialmente. </w:t>
      </w:r>
      <w:r w:rsidR="0080212E" w:rsidRPr="007503A4">
        <w:rPr>
          <w:rFonts w:ascii="Times New Roman" w:hAnsi="Times New Roman"/>
          <w:szCs w:val="24"/>
        </w:rPr>
        <w:t>A definição da paleta de cor dos termogramas</w:t>
      </w:r>
      <w:r w:rsidR="00134A3C">
        <w:rPr>
          <w:rFonts w:ascii="Times New Roman" w:hAnsi="Times New Roman"/>
          <w:szCs w:val="24"/>
        </w:rPr>
        <w:t xml:space="preserve"> na</w:t>
      </w:r>
      <w:r w:rsidR="0080212E">
        <w:rPr>
          <w:rFonts w:ascii="Times New Roman" w:hAnsi="Times New Roman"/>
          <w:szCs w:val="24"/>
        </w:rPr>
        <w:t xml:space="preserve"> “escala de cinzento”</w:t>
      </w:r>
      <w:r w:rsidR="0080212E" w:rsidRPr="007503A4">
        <w:rPr>
          <w:rFonts w:ascii="Times New Roman" w:hAnsi="Times New Roman"/>
          <w:szCs w:val="24"/>
        </w:rPr>
        <w:t xml:space="preserve">, </w:t>
      </w:r>
      <w:r w:rsidR="00134A3C">
        <w:rPr>
          <w:rFonts w:ascii="Times New Roman" w:hAnsi="Times New Roman"/>
          <w:szCs w:val="24"/>
        </w:rPr>
        <w:t>a definição dos</w:t>
      </w:r>
      <w:r w:rsidR="0080212E">
        <w:rPr>
          <w:rFonts w:ascii="Times New Roman" w:hAnsi="Times New Roman"/>
          <w:szCs w:val="24"/>
        </w:rPr>
        <w:t xml:space="preserve"> limite</w:t>
      </w:r>
      <w:r w:rsidR="00134A3C">
        <w:rPr>
          <w:rFonts w:ascii="Times New Roman" w:hAnsi="Times New Roman"/>
          <w:szCs w:val="24"/>
        </w:rPr>
        <w:t>s</w:t>
      </w:r>
      <w:r w:rsidR="0080212E">
        <w:rPr>
          <w:rFonts w:ascii="Times New Roman" w:hAnsi="Times New Roman"/>
          <w:szCs w:val="24"/>
        </w:rPr>
        <w:t xml:space="preserve"> mínimo e máximo </w:t>
      </w:r>
      <w:r w:rsidR="00134A3C">
        <w:rPr>
          <w:rFonts w:ascii="Times New Roman" w:hAnsi="Times New Roman"/>
          <w:szCs w:val="24"/>
        </w:rPr>
        <w:t>de temperaturas</w:t>
      </w:r>
      <w:r w:rsidR="0080212E" w:rsidRPr="007503A4">
        <w:rPr>
          <w:rFonts w:ascii="Times New Roman" w:hAnsi="Times New Roman"/>
          <w:szCs w:val="24"/>
        </w:rPr>
        <w:t xml:space="preserve"> e </w:t>
      </w:r>
      <w:r w:rsidR="0080212E">
        <w:rPr>
          <w:rFonts w:ascii="Times New Roman" w:hAnsi="Times New Roman"/>
          <w:szCs w:val="24"/>
        </w:rPr>
        <w:t xml:space="preserve">a </w:t>
      </w:r>
      <w:r w:rsidR="0080212E" w:rsidRPr="007503A4">
        <w:rPr>
          <w:rFonts w:ascii="Times New Roman" w:hAnsi="Times New Roman"/>
          <w:szCs w:val="24"/>
        </w:rPr>
        <w:t>região da glândula mamária foram padronizadas para submissão das informações para posterior</w:t>
      </w:r>
      <w:r w:rsidR="00134A3C">
        <w:rPr>
          <w:rFonts w:ascii="Times New Roman" w:hAnsi="Times New Roman"/>
          <w:szCs w:val="24"/>
        </w:rPr>
        <w:t xml:space="preserve"> uso de técnicas de</w:t>
      </w:r>
      <w:r w:rsidR="0080212E" w:rsidRPr="007503A4">
        <w:rPr>
          <w:rFonts w:ascii="Times New Roman" w:hAnsi="Times New Roman"/>
          <w:szCs w:val="24"/>
        </w:rPr>
        <w:t xml:space="preserve"> aprendizado de máquina</w:t>
      </w:r>
      <w:r w:rsidR="0080212E">
        <w:rPr>
          <w:rFonts w:ascii="Times New Roman" w:hAnsi="Times New Roman"/>
          <w:szCs w:val="24"/>
        </w:rPr>
        <w:t xml:space="preserve">. </w:t>
      </w:r>
      <w:r w:rsidR="003109A3">
        <w:rPr>
          <w:rFonts w:ascii="Times New Roman" w:hAnsi="Times New Roman"/>
          <w:szCs w:val="24"/>
        </w:rPr>
        <w:t>As diferentes leituras</w:t>
      </w:r>
      <w:r w:rsidR="00BC75FA">
        <w:rPr>
          <w:rFonts w:ascii="Times New Roman" w:hAnsi="Times New Roman"/>
          <w:szCs w:val="24"/>
        </w:rPr>
        <w:t xml:space="preserve"> oferecidas pelo termógrafo</w:t>
      </w:r>
      <w:r w:rsidR="003109A3">
        <w:rPr>
          <w:rFonts w:ascii="Times New Roman" w:hAnsi="Times New Roman"/>
          <w:szCs w:val="24"/>
        </w:rPr>
        <w:t xml:space="preserve"> foram comparadas de acordo com a classificação: “Mastite”, “Mastite inespecífica”, “Infecção latente” e “Quartos sadios”. </w:t>
      </w:r>
      <w:r w:rsidR="00134A3C">
        <w:rPr>
          <w:rFonts w:ascii="Times New Roman" w:hAnsi="Times New Roman"/>
          <w:szCs w:val="24"/>
        </w:rPr>
        <w:t>A</w:t>
      </w:r>
      <w:r w:rsidR="003109A3">
        <w:rPr>
          <w:rFonts w:ascii="Times New Roman" w:hAnsi="Times New Roman"/>
          <w:szCs w:val="24"/>
        </w:rPr>
        <w:t xml:space="preserve"> correlação entre CE</w:t>
      </w:r>
      <w:r w:rsidR="00BC75FA">
        <w:rPr>
          <w:rFonts w:ascii="Times New Roman" w:hAnsi="Times New Roman"/>
          <w:szCs w:val="24"/>
        </w:rPr>
        <w:t xml:space="preserve"> e </w:t>
      </w:r>
      <w:r w:rsidR="00134A3C">
        <w:rPr>
          <w:rFonts w:ascii="Times New Roman" w:hAnsi="Times New Roman"/>
          <w:szCs w:val="24"/>
        </w:rPr>
        <w:t>contagem de células somáticas (</w:t>
      </w:r>
      <w:r w:rsidR="00BC75FA">
        <w:rPr>
          <w:rFonts w:ascii="Times New Roman" w:hAnsi="Times New Roman"/>
          <w:szCs w:val="24"/>
        </w:rPr>
        <w:t>CCS</w:t>
      </w:r>
      <w:r w:rsidR="00134A3C">
        <w:rPr>
          <w:rFonts w:ascii="Times New Roman" w:hAnsi="Times New Roman"/>
          <w:szCs w:val="24"/>
        </w:rPr>
        <w:t>)</w:t>
      </w:r>
      <w:r w:rsidR="003109A3">
        <w:rPr>
          <w:rFonts w:ascii="Times New Roman" w:hAnsi="Times New Roman"/>
          <w:szCs w:val="24"/>
        </w:rPr>
        <w:t xml:space="preserve"> com a TIV</w:t>
      </w:r>
      <w:r w:rsidR="00134A3C">
        <w:rPr>
          <w:rFonts w:ascii="Times New Roman" w:hAnsi="Times New Roman"/>
          <w:szCs w:val="24"/>
        </w:rPr>
        <w:t xml:space="preserve"> foi feita após a classificação dos quartos mamários em</w:t>
      </w:r>
      <w:r w:rsidR="003109A3">
        <w:rPr>
          <w:rFonts w:ascii="Times New Roman" w:hAnsi="Times New Roman"/>
          <w:szCs w:val="24"/>
        </w:rPr>
        <w:t xml:space="preserve"> dois grupos: quartos mamários com mastite latente e quartos sadios (G1) e quartos mamários com mastite inespecífica e quartos com mastite infecciosa (G2).</w:t>
      </w:r>
      <w:r w:rsidR="00BC75FA">
        <w:rPr>
          <w:rFonts w:ascii="Times New Roman" w:hAnsi="Times New Roman"/>
          <w:szCs w:val="24"/>
        </w:rPr>
        <w:t xml:space="preserve"> </w:t>
      </w:r>
      <w:r w:rsidR="0080212E">
        <w:rPr>
          <w:rFonts w:ascii="Times New Roman" w:hAnsi="Times New Roman"/>
          <w:szCs w:val="24"/>
        </w:rPr>
        <w:t xml:space="preserve">Os microrganismos de maior ocorrência na etiologia infecciosa da mastite subclínica foram </w:t>
      </w:r>
      <w:proofErr w:type="spellStart"/>
      <w:r w:rsidR="0080212E" w:rsidRPr="008606CD">
        <w:rPr>
          <w:rFonts w:ascii="Times New Roman" w:hAnsi="Times New Roman"/>
          <w:i/>
          <w:iCs/>
          <w:szCs w:val="24"/>
        </w:rPr>
        <w:t>Staphylococcus</w:t>
      </w:r>
      <w:proofErr w:type="spellEnd"/>
      <w:r w:rsidR="0080212E" w:rsidRPr="008606CD">
        <w:rPr>
          <w:rFonts w:ascii="Times New Roman" w:hAnsi="Times New Roman"/>
          <w:i/>
          <w:iCs/>
          <w:szCs w:val="24"/>
        </w:rPr>
        <w:t xml:space="preserve"> aureus</w:t>
      </w:r>
      <w:r w:rsidR="0080212E">
        <w:rPr>
          <w:rFonts w:ascii="Times New Roman" w:hAnsi="Times New Roman"/>
          <w:szCs w:val="24"/>
        </w:rPr>
        <w:t xml:space="preserve"> (13,0%) e </w:t>
      </w:r>
      <w:proofErr w:type="spellStart"/>
      <w:r w:rsidR="0080212E" w:rsidRPr="008606CD">
        <w:rPr>
          <w:rFonts w:ascii="Times New Roman" w:hAnsi="Times New Roman"/>
          <w:i/>
          <w:iCs/>
          <w:szCs w:val="24"/>
        </w:rPr>
        <w:t>Staphylococcus</w:t>
      </w:r>
      <w:proofErr w:type="spellEnd"/>
      <w:r w:rsidR="0080212E" w:rsidRPr="008606CD">
        <w:rPr>
          <w:rFonts w:ascii="Times New Roman" w:hAnsi="Times New Roman"/>
          <w:i/>
          <w:iCs/>
          <w:szCs w:val="24"/>
        </w:rPr>
        <w:t xml:space="preserve"> </w:t>
      </w:r>
      <w:proofErr w:type="spellStart"/>
      <w:r w:rsidR="0080212E" w:rsidRPr="008606CD">
        <w:rPr>
          <w:rFonts w:ascii="Times New Roman" w:hAnsi="Times New Roman"/>
          <w:i/>
          <w:iCs/>
          <w:szCs w:val="24"/>
        </w:rPr>
        <w:t>chromogenes</w:t>
      </w:r>
      <w:proofErr w:type="spellEnd"/>
      <w:r w:rsidR="0080212E">
        <w:rPr>
          <w:rFonts w:ascii="Times New Roman" w:hAnsi="Times New Roman"/>
          <w:szCs w:val="24"/>
        </w:rPr>
        <w:t xml:space="preserve"> (2,5%). </w:t>
      </w:r>
      <w:r w:rsidR="00F038D8">
        <w:rPr>
          <w:rFonts w:ascii="Times New Roman" w:hAnsi="Times New Roman"/>
          <w:szCs w:val="24"/>
        </w:rPr>
        <w:t>A análise da TIV de acordo com a posição dos quartos mamários revela</w:t>
      </w:r>
      <w:r w:rsidR="00BC75FA">
        <w:rPr>
          <w:rFonts w:ascii="Times New Roman" w:hAnsi="Times New Roman"/>
          <w:szCs w:val="24"/>
        </w:rPr>
        <w:t xml:space="preserve"> que os valores médios das temperaturas dos anteriores do “G2”, com CCS acima de 200.00</w:t>
      </w:r>
      <w:r w:rsidR="00134A3C">
        <w:rPr>
          <w:rFonts w:ascii="Times New Roman" w:hAnsi="Times New Roman"/>
          <w:szCs w:val="24"/>
        </w:rPr>
        <w:t>0</w:t>
      </w:r>
      <w:r w:rsidR="00BC75FA">
        <w:rPr>
          <w:rFonts w:ascii="Times New Roman" w:hAnsi="Times New Roman"/>
          <w:szCs w:val="24"/>
        </w:rPr>
        <w:t xml:space="preserve"> células/</w:t>
      </w:r>
      <w:proofErr w:type="spellStart"/>
      <w:r w:rsidR="00BC75FA">
        <w:rPr>
          <w:rFonts w:ascii="Times New Roman" w:hAnsi="Times New Roman"/>
          <w:szCs w:val="24"/>
        </w:rPr>
        <w:t>mL</w:t>
      </w:r>
      <w:proofErr w:type="spellEnd"/>
      <w:r w:rsidR="00BC75FA">
        <w:rPr>
          <w:rFonts w:ascii="Times New Roman" w:hAnsi="Times New Roman"/>
          <w:szCs w:val="24"/>
        </w:rPr>
        <w:t xml:space="preserve"> de leite foram superiores às temperaturas dos quartos do “G1”. Já os quartos posteriores do “G2” apresenta</w:t>
      </w:r>
      <w:r w:rsidR="00134A3C">
        <w:rPr>
          <w:rFonts w:ascii="Times New Roman" w:hAnsi="Times New Roman"/>
          <w:szCs w:val="24"/>
        </w:rPr>
        <w:t>ra</w:t>
      </w:r>
      <w:r w:rsidR="00BC75FA">
        <w:rPr>
          <w:rFonts w:ascii="Times New Roman" w:hAnsi="Times New Roman"/>
          <w:szCs w:val="24"/>
        </w:rPr>
        <w:t>m temperaturas médias inferiores aos quartos do “G1”, realçando</w:t>
      </w:r>
      <w:r w:rsidR="00134A3C">
        <w:rPr>
          <w:rFonts w:ascii="Times New Roman" w:hAnsi="Times New Roman"/>
          <w:szCs w:val="24"/>
        </w:rPr>
        <w:t xml:space="preserve"> a influência de possíveis</w:t>
      </w:r>
      <w:r w:rsidR="00BC75FA">
        <w:rPr>
          <w:rFonts w:ascii="Times New Roman" w:hAnsi="Times New Roman"/>
          <w:szCs w:val="24"/>
        </w:rPr>
        <w:t xml:space="preserve"> fatores</w:t>
      </w:r>
      <w:r w:rsidR="00134A3C">
        <w:rPr>
          <w:rFonts w:ascii="Times New Roman" w:hAnsi="Times New Roman"/>
          <w:szCs w:val="24"/>
        </w:rPr>
        <w:t xml:space="preserve"> externos</w:t>
      </w:r>
      <w:r w:rsidR="00BC75FA">
        <w:rPr>
          <w:rFonts w:ascii="Times New Roman" w:hAnsi="Times New Roman"/>
          <w:szCs w:val="24"/>
        </w:rPr>
        <w:t xml:space="preserve"> </w:t>
      </w:r>
      <w:r w:rsidR="00134A3C">
        <w:rPr>
          <w:rFonts w:ascii="Times New Roman" w:hAnsi="Times New Roman"/>
          <w:szCs w:val="24"/>
        </w:rPr>
        <w:t>sobre as</w:t>
      </w:r>
      <w:r w:rsidR="00BC75FA">
        <w:rPr>
          <w:rFonts w:ascii="Times New Roman" w:hAnsi="Times New Roman"/>
          <w:szCs w:val="24"/>
        </w:rPr>
        <w:t xml:space="preserve"> temperaturas das glândulas mamárias. Os valores de CE no leite das vacas com CCS mais elevada foram mais elevados quando comparados aos de vacas com CCS inferior ao ponto de corte utilizado.</w:t>
      </w:r>
      <w:r w:rsidR="0080212E">
        <w:rPr>
          <w:rFonts w:ascii="Times New Roman" w:hAnsi="Times New Roman"/>
          <w:szCs w:val="24"/>
        </w:rPr>
        <w:t xml:space="preserve"> </w:t>
      </w:r>
      <w:r w:rsidR="0080212E">
        <w:rPr>
          <w:rFonts w:ascii="Times New Roman" w:hAnsi="Times New Roman"/>
          <w:sz w:val="23"/>
          <w:szCs w:val="23"/>
        </w:rPr>
        <w:t>Os</w:t>
      </w:r>
      <w:r w:rsidR="0080212E" w:rsidRPr="0020566D">
        <w:rPr>
          <w:rFonts w:ascii="Times New Roman" w:hAnsi="Times New Roman"/>
          <w:sz w:val="23"/>
          <w:szCs w:val="23"/>
        </w:rPr>
        <w:t xml:space="preserve"> </w:t>
      </w:r>
      <w:r w:rsidR="0080212E">
        <w:rPr>
          <w:rFonts w:ascii="Times New Roman" w:hAnsi="Times New Roman"/>
          <w:sz w:val="23"/>
          <w:szCs w:val="23"/>
        </w:rPr>
        <w:t>resultados prévios de correlação</w:t>
      </w:r>
      <w:r w:rsidR="0080212E" w:rsidRPr="0020566D">
        <w:rPr>
          <w:rFonts w:ascii="Times New Roman" w:hAnsi="Times New Roman"/>
          <w:sz w:val="23"/>
          <w:szCs w:val="23"/>
        </w:rPr>
        <w:t xml:space="preserve"> observados foram pequenos, indicando ausência de associação entre as variáveis consideradas.</w:t>
      </w:r>
      <w:r w:rsidR="0080212E">
        <w:rPr>
          <w:rFonts w:ascii="Times New Roman" w:hAnsi="Times New Roman"/>
          <w:szCs w:val="24"/>
        </w:rPr>
        <w:t xml:space="preserve"> Assim, a adequação das equações de predição dos efeitos de temperatura sobre a termografia é necessária, orientando a escolha d</w:t>
      </w:r>
      <w:r w:rsidR="00134A3C">
        <w:rPr>
          <w:rFonts w:ascii="Times New Roman" w:hAnsi="Times New Roman"/>
          <w:szCs w:val="24"/>
        </w:rPr>
        <w:t>e nova região do úbere</w:t>
      </w:r>
      <w:r w:rsidR="0080212E">
        <w:rPr>
          <w:rFonts w:ascii="Times New Roman" w:hAnsi="Times New Roman"/>
          <w:szCs w:val="24"/>
        </w:rPr>
        <w:t xml:space="preserve"> para as análises dos termogramas.</w:t>
      </w:r>
    </w:p>
    <w:p w14:paraId="69E9D01C" w14:textId="77777777" w:rsidR="00F61E4E" w:rsidRPr="00F61E4E" w:rsidRDefault="00F61E4E" w:rsidP="00F61E4E">
      <w:pPr>
        <w:pStyle w:val="Corpodetexto"/>
        <w:spacing w:line="240" w:lineRule="auto"/>
        <w:rPr>
          <w:rFonts w:ascii="Times New Roman" w:hAnsi="Times New Roman"/>
          <w:b/>
          <w:sz w:val="22"/>
          <w:szCs w:val="22"/>
        </w:rPr>
      </w:pPr>
    </w:p>
    <w:p w14:paraId="49E1B76F" w14:textId="4E5C76F8"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Apoio financeiro:</w:t>
      </w:r>
      <w:r w:rsidRPr="00F61E4E">
        <w:rPr>
          <w:rFonts w:ascii="Times New Roman" w:hAnsi="Times New Roman"/>
          <w:sz w:val="20"/>
        </w:rPr>
        <w:t xml:space="preserve"> </w:t>
      </w:r>
      <w:r w:rsidR="00442FA9">
        <w:rPr>
          <w:rFonts w:ascii="Times New Roman" w:hAnsi="Times New Roman"/>
          <w:sz w:val="20"/>
        </w:rPr>
        <w:t xml:space="preserve">Processo Fapesp – nº 2020/16240-4. </w:t>
      </w:r>
    </w:p>
    <w:p w14:paraId="7347016D" w14:textId="10E9561D"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Área: </w:t>
      </w:r>
      <w:r w:rsidR="00442FA9">
        <w:rPr>
          <w:rFonts w:ascii="Times New Roman" w:hAnsi="Times New Roman"/>
          <w:sz w:val="20"/>
        </w:rPr>
        <w:t>Ciências Agrárias.</w:t>
      </w:r>
    </w:p>
    <w:p w14:paraId="03CB6490" w14:textId="77777777" w:rsidR="00295A18" w:rsidRPr="00295A18" w:rsidRDefault="00F61E4E" w:rsidP="00295A18">
      <w:pPr>
        <w:jc w:val="both"/>
        <w:rPr>
          <w:rFonts w:ascii="Times New Roman" w:hAnsi="Times New Roman" w:cs="Times New Roman"/>
        </w:rPr>
      </w:pPr>
      <w:r w:rsidRPr="00F61E4E">
        <w:rPr>
          <w:rFonts w:ascii="Times New Roman" w:hAnsi="Times New Roman"/>
          <w:b/>
          <w:sz w:val="20"/>
        </w:rPr>
        <w:t>Palavras-chave</w:t>
      </w:r>
      <w:r w:rsidRPr="00F61E4E">
        <w:rPr>
          <w:rFonts w:ascii="Times New Roman" w:hAnsi="Times New Roman"/>
          <w:sz w:val="20"/>
        </w:rPr>
        <w:t xml:space="preserve">: </w:t>
      </w:r>
      <w:r w:rsidR="00295A18" w:rsidRPr="00295A18">
        <w:rPr>
          <w:rFonts w:ascii="Times New Roman" w:hAnsi="Times New Roman" w:cs="Times New Roman"/>
          <w:sz w:val="20"/>
          <w:szCs w:val="20"/>
        </w:rPr>
        <w:t xml:space="preserve">leite, </w:t>
      </w:r>
      <w:proofErr w:type="spellStart"/>
      <w:r w:rsidR="00295A18" w:rsidRPr="00295A18">
        <w:rPr>
          <w:rFonts w:ascii="Times New Roman" w:hAnsi="Times New Roman" w:cs="Times New Roman"/>
          <w:i/>
          <w:iCs/>
          <w:sz w:val="20"/>
          <w:szCs w:val="20"/>
        </w:rPr>
        <w:t>Staphylococcus</w:t>
      </w:r>
      <w:proofErr w:type="spellEnd"/>
      <w:r w:rsidR="00295A18" w:rsidRPr="00295A18">
        <w:rPr>
          <w:rFonts w:ascii="Times New Roman" w:hAnsi="Times New Roman" w:cs="Times New Roman"/>
          <w:i/>
          <w:iCs/>
          <w:sz w:val="20"/>
          <w:szCs w:val="20"/>
        </w:rPr>
        <w:t xml:space="preserve"> spp</w:t>
      </w:r>
      <w:r w:rsidR="00295A18" w:rsidRPr="00295A18">
        <w:rPr>
          <w:rFonts w:ascii="Times New Roman" w:hAnsi="Times New Roman" w:cs="Times New Roman"/>
          <w:sz w:val="20"/>
          <w:szCs w:val="20"/>
        </w:rPr>
        <w:t>., métodos diagnósticos, contagem de células somáticas.</w:t>
      </w:r>
    </w:p>
    <w:p w14:paraId="634E8F5E" w14:textId="5BD4A7BE" w:rsidR="00D97814"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Número Cadastro </w:t>
      </w:r>
      <w:proofErr w:type="spellStart"/>
      <w:r w:rsidRPr="00F61E4E">
        <w:rPr>
          <w:rFonts w:ascii="Times New Roman" w:hAnsi="Times New Roman"/>
          <w:b/>
          <w:sz w:val="20"/>
        </w:rPr>
        <w:t>SisGen</w:t>
      </w:r>
      <w:proofErr w:type="spellEnd"/>
      <w:r w:rsidRPr="00F61E4E">
        <w:rPr>
          <w:rFonts w:ascii="Times New Roman" w:hAnsi="Times New Roman"/>
          <w:b/>
          <w:sz w:val="20"/>
        </w:rPr>
        <w:t>:</w:t>
      </w:r>
      <w:r w:rsidRPr="00F61E4E">
        <w:rPr>
          <w:rFonts w:ascii="Times New Roman" w:hAnsi="Times New Roman"/>
          <w:sz w:val="20"/>
        </w:rPr>
        <w:t xml:space="preserve"> </w:t>
      </w:r>
      <w:r w:rsidR="00442FA9">
        <w:rPr>
          <w:rFonts w:ascii="Times New Roman" w:hAnsi="Times New Roman"/>
          <w:sz w:val="20"/>
        </w:rPr>
        <w:t>A670CBC</w:t>
      </w:r>
    </w:p>
    <w:p w14:paraId="65F200E6" w14:textId="439A420A" w:rsidR="00D97814" w:rsidRPr="00D97814" w:rsidRDefault="00D97814" w:rsidP="00F61E4E">
      <w:pPr>
        <w:pStyle w:val="Corpodetexto"/>
        <w:spacing w:line="240" w:lineRule="auto"/>
        <w:rPr>
          <w:rFonts w:ascii="Times New Roman" w:hAnsi="Times New Roman"/>
          <w:sz w:val="20"/>
        </w:rPr>
      </w:pPr>
      <w:r w:rsidRPr="00D97814">
        <w:rPr>
          <w:rFonts w:ascii="Times New Roman" w:hAnsi="Times New Roman"/>
          <w:b/>
          <w:bCs/>
          <w:sz w:val="20"/>
        </w:rPr>
        <w:t xml:space="preserve">Comitê de Ética Animal: </w:t>
      </w:r>
      <w:r>
        <w:rPr>
          <w:rFonts w:ascii="Times New Roman" w:hAnsi="Times New Roman"/>
          <w:sz w:val="20"/>
        </w:rPr>
        <w:t>04/2021</w:t>
      </w:r>
    </w:p>
    <w:p w14:paraId="2F4FA995" w14:textId="1967E2C8" w:rsidR="00F61E4E" w:rsidRPr="00295A18" w:rsidRDefault="00F61E4E" w:rsidP="00F61E4E">
      <w:pPr>
        <w:pStyle w:val="Corpodetexto"/>
        <w:spacing w:line="240" w:lineRule="auto"/>
        <w:rPr>
          <w:rFonts w:ascii="Times New Roman" w:hAnsi="Times New Roman"/>
          <w:sz w:val="20"/>
        </w:rPr>
      </w:pPr>
      <w:r w:rsidRPr="00F61E4E">
        <w:rPr>
          <w:rFonts w:ascii="Times New Roman" w:hAnsi="Times New Roman"/>
          <w:b/>
          <w:sz w:val="20"/>
        </w:rPr>
        <w:t>N. do Processo PIBIT</w:t>
      </w:r>
      <w:r w:rsidR="00352EF8">
        <w:rPr>
          <w:rFonts w:ascii="Times New Roman" w:hAnsi="Times New Roman"/>
          <w:b/>
          <w:sz w:val="20"/>
        </w:rPr>
        <w:t>I</w:t>
      </w:r>
      <w:r w:rsidR="00442FA9">
        <w:rPr>
          <w:rFonts w:ascii="Times New Roman" w:hAnsi="Times New Roman"/>
          <w:b/>
          <w:sz w:val="20"/>
        </w:rPr>
        <w:t>/CNPq</w:t>
      </w:r>
      <w:r w:rsidRPr="00F61E4E">
        <w:rPr>
          <w:rFonts w:ascii="Times New Roman" w:hAnsi="Times New Roman"/>
          <w:b/>
          <w:sz w:val="20"/>
        </w:rPr>
        <w:t xml:space="preserve">: </w:t>
      </w:r>
      <w:r w:rsidR="00442FA9">
        <w:rPr>
          <w:rFonts w:ascii="Times New Roman" w:hAnsi="Times New Roman"/>
          <w:sz w:val="20"/>
        </w:rPr>
        <w:t>154948/2022-5</w:t>
      </w:r>
    </w:p>
    <w:sectPr w:rsidR="00F61E4E" w:rsidRPr="00295A18"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B94DA" w14:textId="77777777" w:rsidR="009933AA" w:rsidRDefault="009933AA" w:rsidP="00E12AB0">
      <w:r>
        <w:separator/>
      </w:r>
    </w:p>
  </w:endnote>
  <w:endnote w:type="continuationSeparator" w:id="0">
    <w:p w14:paraId="4D37D541" w14:textId="77777777" w:rsidR="009933AA" w:rsidRDefault="009933AA"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B2A6"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D458"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E78"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67E0" w14:textId="77777777" w:rsidR="009933AA" w:rsidRDefault="009933AA" w:rsidP="00E12AB0">
      <w:r>
        <w:separator/>
      </w:r>
    </w:p>
  </w:footnote>
  <w:footnote w:type="continuationSeparator" w:id="0">
    <w:p w14:paraId="00BE2AE2" w14:textId="77777777" w:rsidR="009933AA" w:rsidRDefault="009933AA"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556D"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74C4" w14:textId="77777777" w:rsidR="00E12AB0" w:rsidRDefault="00E12AB0"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Anais da 15ª Jornada Científica – Embrapa São Carlos – 22 de agosto de 2023</w:t>
    </w:r>
  </w:p>
  <w:p w14:paraId="6BEC38A0" w14:textId="77777777"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4341"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063"/>
    <w:rsid w:val="000011BE"/>
    <w:rsid w:val="00022462"/>
    <w:rsid w:val="000818B0"/>
    <w:rsid w:val="00084B39"/>
    <w:rsid w:val="0009286B"/>
    <w:rsid w:val="000C2C7D"/>
    <w:rsid w:val="00122A63"/>
    <w:rsid w:val="00134A3C"/>
    <w:rsid w:val="0020566D"/>
    <w:rsid w:val="00285FD5"/>
    <w:rsid w:val="00295A18"/>
    <w:rsid w:val="002B6C6D"/>
    <w:rsid w:val="002C0BD5"/>
    <w:rsid w:val="002E0A8D"/>
    <w:rsid w:val="00302A5F"/>
    <w:rsid w:val="003109A3"/>
    <w:rsid w:val="003477EB"/>
    <w:rsid w:val="00352E1F"/>
    <w:rsid w:val="00352EF8"/>
    <w:rsid w:val="003D2109"/>
    <w:rsid w:val="00407CBE"/>
    <w:rsid w:val="00442FA9"/>
    <w:rsid w:val="00484063"/>
    <w:rsid w:val="004E075C"/>
    <w:rsid w:val="005112AA"/>
    <w:rsid w:val="0057319E"/>
    <w:rsid w:val="006825CA"/>
    <w:rsid w:val="00683998"/>
    <w:rsid w:val="006A7534"/>
    <w:rsid w:val="006D42E4"/>
    <w:rsid w:val="00701649"/>
    <w:rsid w:val="007503A4"/>
    <w:rsid w:val="00785A21"/>
    <w:rsid w:val="0080212E"/>
    <w:rsid w:val="008606CD"/>
    <w:rsid w:val="008D1B21"/>
    <w:rsid w:val="008D4FB5"/>
    <w:rsid w:val="008E2F33"/>
    <w:rsid w:val="0090784D"/>
    <w:rsid w:val="009933AA"/>
    <w:rsid w:val="009A7A32"/>
    <w:rsid w:val="00A200F9"/>
    <w:rsid w:val="00A94D73"/>
    <w:rsid w:val="00AB40E6"/>
    <w:rsid w:val="00B46292"/>
    <w:rsid w:val="00B47FD2"/>
    <w:rsid w:val="00BA3E6D"/>
    <w:rsid w:val="00BC75FA"/>
    <w:rsid w:val="00C40B2F"/>
    <w:rsid w:val="00C47A7D"/>
    <w:rsid w:val="00C61EA8"/>
    <w:rsid w:val="00CD0F93"/>
    <w:rsid w:val="00CE40F7"/>
    <w:rsid w:val="00CF7283"/>
    <w:rsid w:val="00D0339C"/>
    <w:rsid w:val="00D053EE"/>
    <w:rsid w:val="00D17507"/>
    <w:rsid w:val="00D6751D"/>
    <w:rsid w:val="00D97814"/>
    <w:rsid w:val="00DD63CC"/>
    <w:rsid w:val="00E12AB0"/>
    <w:rsid w:val="00EE13DC"/>
    <w:rsid w:val="00F038D8"/>
    <w:rsid w:val="00F238A8"/>
    <w:rsid w:val="00F35E26"/>
    <w:rsid w:val="00F44495"/>
    <w:rsid w:val="00F61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1E2C"/>
  <w15:docId w15:val="{654B66C7-4939-4DA9-BA1E-E1795FCC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paragraph" w:styleId="Reviso">
    <w:name w:val="Revision"/>
    <w:hidden/>
    <w:uiPriority w:val="99"/>
    <w:semiHidden/>
    <w:rsid w:val="00CE40F7"/>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95930">
      <w:bodyDiv w:val="1"/>
      <w:marLeft w:val="0"/>
      <w:marRight w:val="0"/>
      <w:marTop w:val="0"/>
      <w:marBottom w:val="0"/>
      <w:divBdr>
        <w:top w:val="none" w:sz="0" w:space="0" w:color="auto"/>
        <w:left w:val="none" w:sz="0" w:space="0" w:color="auto"/>
        <w:bottom w:val="none" w:sz="0" w:space="0" w:color="auto"/>
        <w:right w:val="none" w:sz="0" w:space="0" w:color="auto"/>
      </w:divBdr>
    </w:div>
    <w:div w:id="20987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A22C57-472B-41F5-932C-F0AE5FC7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555</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Maria Laura</cp:lastModifiedBy>
  <cp:revision>7</cp:revision>
  <dcterms:created xsi:type="dcterms:W3CDTF">2023-07-05T13:46:00Z</dcterms:created>
  <dcterms:modified xsi:type="dcterms:W3CDTF">2023-07-06T18:11:00Z</dcterms:modified>
</cp:coreProperties>
</file>