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20AB4562" w:rsidR="00D6247D" w:rsidRDefault="00000000" w:rsidP="00956196">
      <w:pPr>
        <w:ind w:left="1" w:hanging="3"/>
        <w:jc w:val="center"/>
        <w:rPr>
          <w:rFonts w:eastAsia="Times New Roman" w:cs="Times New Roman"/>
          <w:sz w:val="28"/>
          <w:szCs w:val="28"/>
        </w:rPr>
      </w:pPr>
      <w:r w:rsidRPr="00B34331">
        <w:rPr>
          <w:rFonts w:eastAsia="Times New Roman" w:cs="Times New Roman"/>
          <w:b/>
          <w:sz w:val="28"/>
          <w:szCs w:val="28"/>
        </w:rPr>
        <w:t xml:space="preserve">Avaliação do potencial da espectroscopia no infravermelho próximo (NIRS) como método de rotina para a determinação da taxa de formação de sementes de acessos de </w:t>
      </w:r>
      <w:proofErr w:type="spellStart"/>
      <w:r w:rsidRPr="00B34331">
        <w:rPr>
          <w:rFonts w:eastAsia="Times New Roman" w:cs="Times New Roman"/>
          <w:b/>
          <w:i/>
          <w:sz w:val="28"/>
          <w:szCs w:val="28"/>
        </w:rPr>
        <w:t>Paspalum</w:t>
      </w:r>
      <w:proofErr w:type="spellEnd"/>
      <w:r w:rsidRPr="00B34331">
        <w:rPr>
          <w:rFonts w:eastAsia="Times New Roman" w:cs="Times New Roman"/>
          <w:b/>
          <w:i/>
          <w:sz w:val="28"/>
          <w:szCs w:val="28"/>
        </w:rPr>
        <w:t xml:space="preserve"> </w:t>
      </w:r>
      <w:proofErr w:type="spellStart"/>
      <w:r w:rsidRPr="00B34331">
        <w:rPr>
          <w:rFonts w:eastAsia="Times New Roman" w:cs="Times New Roman"/>
          <w:b/>
          <w:i/>
          <w:sz w:val="28"/>
          <w:szCs w:val="28"/>
        </w:rPr>
        <w:t>regnellii</w:t>
      </w:r>
      <w:proofErr w:type="spellEnd"/>
    </w:p>
    <w:p w14:paraId="07C6D305" w14:textId="77777777" w:rsidR="00956196" w:rsidRPr="00B34331" w:rsidRDefault="00956196" w:rsidP="00956196">
      <w:pPr>
        <w:ind w:left="1" w:hanging="3"/>
        <w:jc w:val="center"/>
        <w:rPr>
          <w:rFonts w:eastAsia="Times New Roman" w:cs="Times New Roman"/>
          <w:sz w:val="28"/>
          <w:szCs w:val="28"/>
        </w:rPr>
      </w:pPr>
    </w:p>
    <w:p w14:paraId="00000003" w14:textId="77777777" w:rsidR="00D6247D" w:rsidRPr="00956196" w:rsidRDefault="00000000">
      <w:pPr>
        <w:ind w:left="0" w:hanging="2"/>
        <w:jc w:val="center"/>
        <w:rPr>
          <w:rFonts w:eastAsia="Times New Roman" w:cs="Times New Roman"/>
          <w:sz w:val="22"/>
          <w:szCs w:val="22"/>
        </w:rPr>
      </w:pPr>
      <w:bookmarkStart w:id="0" w:name="_Hlk139705498"/>
      <w:r w:rsidRPr="00956196">
        <w:rPr>
          <w:rFonts w:eastAsia="Times New Roman" w:cs="Times New Roman"/>
          <w:sz w:val="22"/>
          <w:szCs w:val="22"/>
          <w:u w:val="single"/>
        </w:rPr>
        <w:t>Gabriel Devecchi de Souza</w:t>
      </w:r>
      <w:r w:rsidRPr="00956196">
        <w:rPr>
          <w:rFonts w:eastAsia="Times New Roman" w:cs="Times New Roman"/>
          <w:sz w:val="22"/>
          <w:szCs w:val="22"/>
          <w:vertAlign w:val="superscript"/>
        </w:rPr>
        <w:t>1</w:t>
      </w:r>
      <w:r w:rsidRPr="00956196">
        <w:rPr>
          <w:rFonts w:eastAsia="Times New Roman" w:cs="Times New Roman"/>
          <w:sz w:val="22"/>
          <w:szCs w:val="22"/>
        </w:rPr>
        <w:t>; Amanda Dário Piccolini</w:t>
      </w:r>
      <w:r w:rsidRPr="00956196">
        <w:rPr>
          <w:rFonts w:eastAsia="Times New Roman" w:cs="Times New Roman"/>
          <w:sz w:val="22"/>
          <w:szCs w:val="22"/>
          <w:vertAlign w:val="superscript"/>
        </w:rPr>
        <w:t>2</w:t>
      </w:r>
      <w:r w:rsidRPr="00956196">
        <w:rPr>
          <w:rFonts w:eastAsia="Times New Roman" w:cs="Times New Roman"/>
          <w:sz w:val="22"/>
          <w:szCs w:val="22"/>
        </w:rPr>
        <w:t xml:space="preserve">; </w:t>
      </w:r>
      <w:proofErr w:type="spellStart"/>
      <w:r w:rsidRPr="00956196">
        <w:rPr>
          <w:rFonts w:eastAsia="Times New Roman" w:cs="Times New Roman"/>
          <w:sz w:val="22"/>
          <w:szCs w:val="22"/>
        </w:rPr>
        <w:t>Avelardo</w:t>
      </w:r>
      <w:proofErr w:type="spellEnd"/>
      <w:r w:rsidRPr="00956196">
        <w:rPr>
          <w:rFonts w:eastAsia="Times New Roman" w:cs="Times New Roman"/>
          <w:sz w:val="22"/>
          <w:szCs w:val="22"/>
        </w:rPr>
        <w:t xml:space="preserve"> Urano de Carvalho Ferreira</w:t>
      </w:r>
      <w:r w:rsidRPr="00956196">
        <w:rPr>
          <w:rFonts w:eastAsia="Times New Roman" w:cs="Times New Roman"/>
          <w:sz w:val="22"/>
          <w:szCs w:val="22"/>
          <w:vertAlign w:val="superscript"/>
        </w:rPr>
        <w:t>3</w:t>
      </w:r>
      <w:r w:rsidRPr="00956196">
        <w:rPr>
          <w:rFonts w:eastAsia="Times New Roman" w:cs="Times New Roman"/>
          <w:sz w:val="22"/>
          <w:szCs w:val="22"/>
        </w:rPr>
        <w:t>; Márcio Dias Rabelo</w:t>
      </w:r>
      <w:r w:rsidRPr="00956196">
        <w:rPr>
          <w:rFonts w:eastAsia="Times New Roman" w:cs="Times New Roman"/>
          <w:sz w:val="22"/>
          <w:szCs w:val="22"/>
          <w:vertAlign w:val="superscript"/>
        </w:rPr>
        <w:t>3</w:t>
      </w:r>
      <w:r w:rsidRPr="00956196">
        <w:rPr>
          <w:rFonts w:eastAsia="Times New Roman" w:cs="Times New Roman"/>
          <w:sz w:val="22"/>
          <w:szCs w:val="22"/>
        </w:rPr>
        <w:t>; Marcelo Mattos Cavallari</w:t>
      </w:r>
      <w:r w:rsidRPr="00956196">
        <w:rPr>
          <w:rFonts w:eastAsia="Times New Roman" w:cs="Times New Roman"/>
          <w:sz w:val="22"/>
          <w:szCs w:val="22"/>
          <w:vertAlign w:val="superscript"/>
        </w:rPr>
        <w:t>4</w:t>
      </w:r>
      <w:r w:rsidRPr="00956196">
        <w:rPr>
          <w:rFonts w:eastAsia="Times New Roman" w:cs="Times New Roman"/>
          <w:sz w:val="22"/>
          <w:szCs w:val="22"/>
        </w:rPr>
        <w:t xml:space="preserve"> e Frederico de Pina Matta</w:t>
      </w:r>
      <w:r w:rsidRPr="00956196">
        <w:rPr>
          <w:rFonts w:eastAsia="Times New Roman" w:cs="Times New Roman"/>
          <w:sz w:val="22"/>
          <w:szCs w:val="22"/>
          <w:vertAlign w:val="superscript"/>
        </w:rPr>
        <w:t>4</w:t>
      </w:r>
    </w:p>
    <w:bookmarkEnd w:id="0"/>
    <w:p w14:paraId="00000004" w14:textId="77777777" w:rsidR="00D6247D" w:rsidRPr="00B34331" w:rsidRDefault="00D6247D">
      <w:pPr>
        <w:shd w:val="clear" w:color="auto" w:fill="FFFFFF"/>
        <w:ind w:left="0" w:hanging="2"/>
        <w:jc w:val="center"/>
        <w:rPr>
          <w:rFonts w:eastAsia="Times New Roman" w:cs="Times New Roman"/>
        </w:rPr>
      </w:pPr>
    </w:p>
    <w:p w14:paraId="00000005" w14:textId="77777777" w:rsidR="00D6247D" w:rsidRPr="00956196" w:rsidRDefault="00000000">
      <w:pPr>
        <w:ind w:left="0" w:hanging="2"/>
        <w:jc w:val="both"/>
        <w:rPr>
          <w:rFonts w:eastAsia="Times New Roman" w:cs="Times New Roman"/>
          <w:sz w:val="20"/>
          <w:szCs w:val="20"/>
        </w:rPr>
      </w:pPr>
      <w:bookmarkStart w:id="1" w:name="_Hlk139705508"/>
      <w:r w:rsidRPr="00956196">
        <w:rPr>
          <w:rFonts w:eastAsia="Times New Roman" w:cs="Times New Roman"/>
          <w:sz w:val="20"/>
          <w:szCs w:val="20"/>
          <w:vertAlign w:val="superscript"/>
        </w:rPr>
        <w:t>1</w:t>
      </w:r>
      <w:r w:rsidRPr="00956196">
        <w:rPr>
          <w:rFonts w:eastAsia="Times New Roman" w:cs="Times New Roman"/>
          <w:sz w:val="20"/>
          <w:szCs w:val="20"/>
        </w:rPr>
        <w:t>Aluno de graduação em Ciências Biológicas, Universidade Federal de São Carlos, São Carlos, SP.; gabrieldevecchi@gmail.com</w:t>
      </w:r>
    </w:p>
    <w:p w14:paraId="00000006" w14:textId="77777777" w:rsidR="00D6247D" w:rsidRPr="00956196" w:rsidRDefault="00000000">
      <w:pPr>
        <w:ind w:left="0" w:hanging="2"/>
        <w:jc w:val="both"/>
        <w:rPr>
          <w:rFonts w:eastAsia="Times New Roman" w:cs="Times New Roman"/>
          <w:sz w:val="20"/>
          <w:szCs w:val="20"/>
        </w:rPr>
      </w:pPr>
      <w:r w:rsidRPr="00956196">
        <w:rPr>
          <w:rFonts w:eastAsia="Times New Roman" w:cs="Times New Roman"/>
          <w:sz w:val="20"/>
          <w:szCs w:val="20"/>
          <w:vertAlign w:val="superscript"/>
        </w:rPr>
        <w:t>2</w:t>
      </w:r>
      <w:r w:rsidRPr="00956196">
        <w:rPr>
          <w:rFonts w:eastAsia="Times New Roman" w:cs="Times New Roman"/>
          <w:sz w:val="20"/>
          <w:szCs w:val="20"/>
        </w:rPr>
        <w:t>Aluna de graduação em Ciências Biológicas, Universidade Federal de São Carlos, São Carlos, SP. Bolsista PIBIC/CNPq, Embrapa Pecuária Sudeste, São Carlos, SP.;</w:t>
      </w:r>
    </w:p>
    <w:p w14:paraId="00000007" w14:textId="77777777" w:rsidR="00D6247D" w:rsidRPr="00956196" w:rsidRDefault="00000000">
      <w:pPr>
        <w:ind w:left="0" w:hanging="2"/>
        <w:jc w:val="both"/>
        <w:rPr>
          <w:rFonts w:eastAsia="Times New Roman" w:cs="Times New Roman"/>
          <w:sz w:val="20"/>
          <w:szCs w:val="20"/>
        </w:rPr>
      </w:pPr>
      <w:r w:rsidRPr="00956196">
        <w:rPr>
          <w:rFonts w:eastAsia="Times New Roman" w:cs="Times New Roman"/>
          <w:sz w:val="20"/>
          <w:szCs w:val="20"/>
          <w:vertAlign w:val="superscript"/>
        </w:rPr>
        <w:t>3</w:t>
      </w:r>
      <w:r w:rsidRPr="00956196">
        <w:rPr>
          <w:rFonts w:eastAsia="Times New Roman" w:cs="Times New Roman"/>
          <w:sz w:val="20"/>
          <w:szCs w:val="20"/>
        </w:rPr>
        <w:t>Analista da Embrapa Pecuária Sudeste, São Carlos, SP.;</w:t>
      </w:r>
    </w:p>
    <w:p w14:paraId="00000008" w14:textId="77777777" w:rsidR="00D6247D" w:rsidRPr="00956196" w:rsidRDefault="00000000">
      <w:pPr>
        <w:ind w:left="0" w:hanging="2"/>
        <w:jc w:val="both"/>
        <w:rPr>
          <w:rFonts w:eastAsia="Times New Roman" w:cs="Times New Roman"/>
          <w:sz w:val="20"/>
          <w:szCs w:val="20"/>
        </w:rPr>
      </w:pPr>
      <w:r w:rsidRPr="00956196">
        <w:rPr>
          <w:rFonts w:eastAsia="Times New Roman" w:cs="Times New Roman"/>
          <w:sz w:val="20"/>
          <w:szCs w:val="20"/>
          <w:vertAlign w:val="superscript"/>
        </w:rPr>
        <w:t>4</w:t>
      </w:r>
      <w:r w:rsidRPr="00956196">
        <w:rPr>
          <w:rFonts w:eastAsia="Times New Roman" w:cs="Times New Roman"/>
          <w:sz w:val="20"/>
          <w:szCs w:val="20"/>
        </w:rPr>
        <w:t>Pesquisador da Embrapa Pecuária Sudeste, São Carlos, SP.</w:t>
      </w:r>
    </w:p>
    <w:bookmarkEnd w:id="1"/>
    <w:p w14:paraId="00000009" w14:textId="77777777" w:rsidR="00D6247D" w:rsidRPr="00B34331" w:rsidRDefault="00D6247D" w:rsidP="00B34331">
      <w:pPr>
        <w:ind w:left="0" w:hanging="2"/>
      </w:pPr>
    </w:p>
    <w:p w14:paraId="0000000A" w14:textId="77777777" w:rsidR="00D6247D" w:rsidRPr="00B34331" w:rsidRDefault="00D6247D">
      <w:pPr>
        <w:ind w:left="0" w:hanging="2"/>
        <w:jc w:val="both"/>
        <w:rPr>
          <w:rFonts w:eastAsia="Times New Roman" w:cs="Times New Roman"/>
        </w:rPr>
      </w:pPr>
    </w:p>
    <w:p w14:paraId="0000000B" w14:textId="7F9281C9" w:rsidR="00D6247D" w:rsidRPr="00B34331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Times New Roman" w:cs="Times New Roman"/>
          <w:color w:val="000000"/>
        </w:rPr>
      </w:pPr>
      <w:r w:rsidRPr="00B34331">
        <w:rPr>
          <w:rFonts w:eastAsia="Times New Roman" w:cs="Times New Roman"/>
          <w:color w:val="000000"/>
        </w:rPr>
        <w:t xml:space="preserve">O gênero </w:t>
      </w:r>
      <w:proofErr w:type="spellStart"/>
      <w:r w:rsidRPr="00B34331">
        <w:rPr>
          <w:rFonts w:eastAsia="Times New Roman" w:cs="Times New Roman"/>
          <w:i/>
          <w:color w:val="000000"/>
        </w:rPr>
        <w:t>Paspalum</w:t>
      </w:r>
      <w:proofErr w:type="spellEnd"/>
      <w:r w:rsidRPr="00B34331">
        <w:rPr>
          <w:rFonts w:eastAsia="Times New Roman" w:cs="Times New Roman"/>
          <w:color w:val="000000"/>
        </w:rPr>
        <w:t xml:space="preserve"> representa alternativa relevante para a composição de pastagens brasileiras. O uso de cultivares com elevada taxa de formação de sementes (TFS) possibilita a redução nos custos de implantação, popularizando sua comercialização. Em programas de melhoramento, determinar a TFS de cada genótipo é um processo trabalhoso, oneroso e demorado. Para contornar este problema, a Espectroscopia no Infravermelho Próximo (NIRS) surge como uma técnica rápida, não destrutiva e capaz de determinar os componentes das sementes sem preparação extensiva de amostras. Este trabalho visou desenvolver um modelo NIRS para estimar a TFS de acessos da espécie </w:t>
      </w:r>
      <w:proofErr w:type="spellStart"/>
      <w:r w:rsidRPr="00B34331">
        <w:rPr>
          <w:rFonts w:eastAsia="Times New Roman" w:cs="Times New Roman"/>
          <w:i/>
          <w:color w:val="000000"/>
        </w:rPr>
        <w:t>Paspalum</w:t>
      </w:r>
      <w:proofErr w:type="spellEnd"/>
      <w:r w:rsidRPr="00B34331">
        <w:rPr>
          <w:rFonts w:eastAsia="Times New Roman" w:cs="Times New Roman"/>
          <w:i/>
          <w:color w:val="000000"/>
        </w:rPr>
        <w:t xml:space="preserve"> </w:t>
      </w:r>
      <w:proofErr w:type="spellStart"/>
      <w:r w:rsidRPr="00B34331">
        <w:rPr>
          <w:rFonts w:eastAsia="Times New Roman" w:cs="Times New Roman"/>
          <w:i/>
          <w:color w:val="000000"/>
        </w:rPr>
        <w:t>regnellii</w:t>
      </w:r>
      <w:proofErr w:type="spellEnd"/>
      <w:r w:rsidRPr="00B34331">
        <w:rPr>
          <w:rFonts w:eastAsia="Times New Roman" w:cs="Times New Roman"/>
          <w:i/>
          <w:color w:val="000000"/>
        </w:rPr>
        <w:t xml:space="preserve"> </w:t>
      </w:r>
      <w:r w:rsidRPr="00B34331">
        <w:rPr>
          <w:rFonts w:eastAsia="Times New Roman" w:cs="Times New Roman"/>
          <w:color w:val="000000"/>
        </w:rPr>
        <w:t xml:space="preserve">do Banco Ativo de Germoplasma de </w:t>
      </w:r>
      <w:proofErr w:type="spellStart"/>
      <w:r w:rsidRPr="00B34331">
        <w:rPr>
          <w:rFonts w:eastAsia="Times New Roman" w:cs="Times New Roman"/>
          <w:i/>
          <w:color w:val="000000"/>
        </w:rPr>
        <w:t>Paspalum</w:t>
      </w:r>
      <w:proofErr w:type="spellEnd"/>
      <w:r w:rsidRPr="00B34331">
        <w:rPr>
          <w:rFonts w:eastAsia="Times New Roman" w:cs="Times New Roman"/>
          <w:color w:val="000000"/>
        </w:rPr>
        <w:t xml:space="preserve"> da Embrapa Pecuária Sudeste, os quais </w:t>
      </w:r>
      <w:r w:rsidR="001051AE">
        <w:rPr>
          <w:rFonts w:eastAsia="Times New Roman" w:cs="Times New Roman"/>
          <w:color w:val="000000"/>
        </w:rPr>
        <w:t>são</w:t>
      </w:r>
      <w:r w:rsidRPr="00B34331">
        <w:rPr>
          <w:rFonts w:eastAsia="Times New Roman" w:cs="Times New Roman"/>
          <w:color w:val="000000"/>
        </w:rPr>
        <w:t xml:space="preserve"> utilizados como genitores femininos em programa de melhoramento genético, por sua qualidade forrageira, </w:t>
      </w:r>
      <w:proofErr w:type="spellStart"/>
      <w:r w:rsidRPr="00B34331">
        <w:rPr>
          <w:rFonts w:eastAsia="Times New Roman" w:cs="Times New Roman"/>
          <w:color w:val="000000"/>
        </w:rPr>
        <w:t>tetraploidia</w:t>
      </w:r>
      <w:proofErr w:type="spellEnd"/>
      <w:r w:rsidRPr="00B34331">
        <w:rPr>
          <w:rFonts w:eastAsia="Times New Roman" w:cs="Times New Roman"/>
          <w:color w:val="000000"/>
        </w:rPr>
        <w:t xml:space="preserve"> e reprodução sexual. Foram coletados racemos de acessos de </w:t>
      </w:r>
      <w:r w:rsidRPr="00B34331">
        <w:rPr>
          <w:rFonts w:eastAsia="Times New Roman" w:cs="Times New Roman"/>
          <w:i/>
          <w:color w:val="000000"/>
        </w:rPr>
        <w:t xml:space="preserve">P. </w:t>
      </w:r>
      <w:proofErr w:type="spellStart"/>
      <w:r w:rsidRPr="00B34331">
        <w:rPr>
          <w:rFonts w:eastAsia="Times New Roman" w:cs="Times New Roman"/>
          <w:i/>
          <w:color w:val="000000"/>
        </w:rPr>
        <w:t>regnellii</w:t>
      </w:r>
      <w:proofErr w:type="spellEnd"/>
      <w:r w:rsidRPr="00B34331">
        <w:rPr>
          <w:rFonts w:eastAsia="Times New Roman" w:cs="Times New Roman"/>
          <w:color w:val="000000"/>
        </w:rPr>
        <w:t>, sendo suas sementes separadas em cheias</w:t>
      </w:r>
      <w:r w:rsidR="001051AE">
        <w:rPr>
          <w:rFonts w:eastAsia="Times New Roman" w:cs="Times New Roman"/>
          <w:color w:val="000000"/>
        </w:rPr>
        <w:t>/</w:t>
      </w:r>
      <w:r w:rsidRPr="00B34331">
        <w:rPr>
          <w:rFonts w:eastAsia="Times New Roman" w:cs="Times New Roman"/>
          <w:color w:val="000000"/>
        </w:rPr>
        <w:t>vazias com</w:t>
      </w:r>
      <w:r w:rsidR="001051AE">
        <w:rPr>
          <w:rFonts w:eastAsia="Times New Roman" w:cs="Times New Roman"/>
          <w:color w:val="000000"/>
        </w:rPr>
        <w:t xml:space="preserve"> </w:t>
      </w:r>
      <w:r w:rsidRPr="00B34331">
        <w:rPr>
          <w:rFonts w:eastAsia="Times New Roman" w:cs="Times New Roman"/>
          <w:color w:val="000000"/>
        </w:rPr>
        <w:t xml:space="preserve">câmara de ar forçado. </w:t>
      </w:r>
      <w:r w:rsidR="001051AE">
        <w:rPr>
          <w:rFonts w:eastAsia="Times New Roman" w:cs="Times New Roman"/>
          <w:color w:val="000000"/>
        </w:rPr>
        <w:t>F</w:t>
      </w:r>
      <w:r w:rsidRPr="00B34331">
        <w:rPr>
          <w:rFonts w:eastAsia="Times New Roman" w:cs="Times New Roman"/>
          <w:color w:val="000000"/>
        </w:rPr>
        <w:t xml:space="preserve">oram </w:t>
      </w:r>
      <w:r w:rsidR="001051AE">
        <w:rPr>
          <w:rFonts w:eastAsia="Times New Roman" w:cs="Times New Roman"/>
          <w:color w:val="000000"/>
        </w:rPr>
        <w:t>preparadas</w:t>
      </w:r>
      <w:r w:rsidRPr="00B34331">
        <w:rPr>
          <w:rFonts w:eastAsia="Times New Roman" w:cs="Times New Roman"/>
          <w:color w:val="000000"/>
        </w:rPr>
        <w:t xml:space="preserve"> amostras de 1000 sementes cada, em frascos </w:t>
      </w:r>
      <w:r w:rsidRPr="00B34331">
        <w:rPr>
          <w:rFonts w:eastAsia="Times New Roman" w:cs="Times New Roman"/>
        </w:rPr>
        <w:t>cilíndricos</w:t>
      </w:r>
      <w:r w:rsidRPr="00B34331">
        <w:rPr>
          <w:rFonts w:eastAsia="Times New Roman" w:cs="Times New Roman"/>
          <w:color w:val="000000"/>
        </w:rPr>
        <w:t xml:space="preserve"> de 20 ml. Cada amostra </w:t>
      </w:r>
      <w:r w:rsidRPr="00B34331">
        <w:rPr>
          <w:rFonts w:eastAsia="Times New Roman" w:cs="Times New Roman"/>
        </w:rPr>
        <w:t>em</w:t>
      </w:r>
      <w:r w:rsidRPr="00B34331">
        <w:rPr>
          <w:rFonts w:eastAsia="Times New Roman" w:cs="Times New Roman"/>
          <w:color w:val="000000"/>
        </w:rPr>
        <w:t xml:space="preserve"> proporção conhecida de sementes cheias e vazias (0% a 100% de sementes cheias, com intervalo de 10%, além das proporções de 15%, 25%, 35%, 45% e 75%), com seis </w:t>
      </w:r>
      <w:proofErr w:type="spellStart"/>
      <w:r w:rsidRPr="00B34331">
        <w:rPr>
          <w:rFonts w:eastAsia="Times New Roman" w:cs="Times New Roman"/>
          <w:color w:val="000000"/>
        </w:rPr>
        <w:t>replicatas</w:t>
      </w:r>
      <w:proofErr w:type="spellEnd"/>
      <w:r w:rsidRPr="00B34331">
        <w:rPr>
          <w:rFonts w:eastAsia="Times New Roman" w:cs="Times New Roman"/>
          <w:color w:val="000000"/>
        </w:rPr>
        <w:t xml:space="preserve"> verdadeiras para cada tratamento, totalizando 96 amostras. A coleta dos espectros foi efetuada em equipamento NIR modelo NIRFLEX N500 (</w:t>
      </w:r>
      <w:proofErr w:type="spellStart"/>
      <w:r w:rsidRPr="00B34331">
        <w:rPr>
          <w:rFonts w:eastAsia="Times New Roman" w:cs="Times New Roman"/>
          <w:color w:val="000000"/>
        </w:rPr>
        <w:t>Büchi</w:t>
      </w:r>
      <w:proofErr w:type="spellEnd"/>
      <w:r w:rsidRPr="00B34331">
        <w:rPr>
          <w:rFonts w:eastAsia="Times New Roman" w:cs="Times New Roman"/>
          <w:color w:val="000000"/>
        </w:rPr>
        <w:t xml:space="preserve">) no modo de reflectância. Os espectros foram adquiridos na região de 1000 a 2500 </w:t>
      </w:r>
      <w:proofErr w:type="spellStart"/>
      <w:r w:rsidRPr="00B34331">
        <w:rPr>
          <w:rFonts w:eastAsia="Times New Roman" w:cs="Times New Roman"/>
          <w:color w:val="000000"/>
        </w:rPr>
        <w:t>nm</w:t>
      </w:r>
      <w:proofErr w:type="spellEnd"/>
      <w:r w:rsidRPr="00B34331">
        <w:rPr>
          <w:rFonts w:eastAsia="Times New Roman" w:cs="Times New Roman"/>
          <w:color w:val="000000"/>
        </w:rPr>
        <w:t xml:space="preserve"> com 16 varreduras por espectro, cada </w:t>
      </w:r>
      <w:proofErr w:type="spellStart"/>
      <w:r w:rsidRPr="00B34331">
        <w:rPr>
          <w:rFonts w:eastAsia="Times New Roman" w:cs="Times New Roman"/>
          <w:color w:val="000000"/>
        </w:rPr>
        <w:t>replicata</w:t>
      </w:r>
      <w:proofErr w:type="spellEnd"/>
      <w:r w:rsidRPr="00B34331">
        <w:rPr>
          <w:rFonts w:eastAsia="Times New Roman" w:cs="Times New Roman"/>
          <w:color w:val="000000"/>
        </w:rPr>
        <w:t xml:space="preserve"> teve o espectro coletado duas vezes visando obter uma média. Análises </w:t>
      </w:r>
      <w:proofErr w:type="spellStart"/>
      <w:r w:rsidRPr="00B34331">
        <w:rPr>
          <w:rFonts w:eastAsia="Times New Roman" w:cs="Times New Roman"/>
          <w:color w:val="000000"/>
        </w:rPr>
        <w:t>quimiométricas</w:t>
      </w:r>
      <w:proofErr w:type="spellEnd"/>
      <w:r w:rsidRPr="00B34331">
        <w:rPr>
          <w:rFonts w:eastAsia="Times New Roman" w:cs="Times New Roman"/>
          <w:color w:val="000000"/>
        </w:rPr>
        <w:t xml:space="preserve"> conduzidas nos softwares </w:t>
      </w:r>
      <w:proofErr w:type="spellStart"/>
      <w:r w:rsidRPr="00B34331">
        <w:rPr>
          <w:rFonts w:eastAsia="Times New Roman" w:cs="Times New Roman"/>
          <w:color w:val="000000"/>
        </w:rPr>
        <w:t>Unscrambler</w:t>
      </w:r>
      <w:proofErr w:type="spellEnd"/>
      <w:r w:rsidRPr="00B34331">
        <w:rPr>
          <w:rFonts w:eastAsia="Times New Roman" w:cs="Times New Roman"/>
          <w:color w:val="000000"/>
        </w:rPr>
        <w:t xml:space="preserve"> X</w:t>
      </w:r>
      <w:r w:rsidRPr="00B34331">
        <w:rPr>
          <w:rFonts w:eastAsia="Times New Roman" w:cs="Times New Roman"/>
          <w:color w:val="000000"/>
          <w:vertAlign w:val="superscript"/>
        </w:rPr>
        <w:t>®</w:t>
      </w:r>
      <w:r w:rsidRPr="00B34331">
        <w:rPr>
          <w:rFonts w:eastAsia="Times New Roman" w:cs="Times New Roman"/>
          <w:color w:val="000000"/>
        </w:rPr>
        <w:t xml:space="preserve"> (</w:t>
      </w:r>
      <w:proofErr w:type="spellStart"/>
      <w:r w:rsidRPr="00B34331">
        <w:rPr>
          <w:rFonts w:eastAsia="Times New Roman" w:cs="Times New Roman"/>
          <w:color w:val="000000"/>
        </w:rPr>
        <w:t>Camo</w:t>
      </w:r>
      <w:proofErr w:type="spellEnd"/>
      <w:r w:rsidRPr="00B34331">
        <w:rPr>
          <w:rFonts w:eastAsia="Times New Roman" w:cs="Times New Roman"/>
          <w:color w:val="000000"/>
        </w:rPr>
        <w:t xml:space="preserve"> </w:t>
      </w:r>
      <w:proofErr w:type="spellStart"/>
      <w:r w:rsidRPr="00B34331">
        <w:rPr>
          <w:rFonts w:eastAsia="Times New Roman" w:cs="Times New Roman"/>
          <w:color w:val="000000"/>
        </w:rPr>
        <w:t>Analytics</w:t>
      </w:r>
      <w:proofErr w:type="spellEnd"/>
      <w:r w:rsidRPr="00B34331">
        <w:rPr>
          <w:rFonts w:eastAsia="Times New Roman" w:cs="Times New Roman"/>
          <w:color w:val="000000"/>
        </w:rPr>
        <w:t>) e NIRCAL</w:t>
      </w:r>
      <w:r w:rsidRPr="00B34331">
        <w:rPr>
          <w:rFonts w:eastAsia="Times New Roman" w:cs="Times New Roman"/>
          <w:color w:val="000000"/>
          <w:vertAlign w:val="superscript"/>
        </w:rPr>
        <w:t>®</w:t>
      </w:r>
      <w:r w:rsidRPr="00B34331">
        <w:rPr>
          <w:rFonts w:eastAsia="Times New Roman" w:cs="Times New Roman"/>
          <w:color w:val="000000"/>
        </w:rPr>
        <w:t xml:space="preserve"> (</w:t>
      </w:r>
      <w:proofErr w:type="spellStart"/>
      <w:r w:rsidRPr="00B34331">
        <w:rPr>
          <w:rFonts w:eastAsia="Times New Roman" w:cs="Times New Roman"/>
          <w:color w:val="000000"/>
        </w:rPr>
        <w:t>Büchi</w:t>
      </w:r>
      <w:proofErr w:type="spellEnd"/>
      <w:r w:rsidRPr="00B34331">
        <w:rPr>
          <w:rFonts w:eastAsia="Times New Roman" w:cs="Times New Roman"/>
          <w:color w:val="000000"/>
        </w:rPr>
        <w:t>). Os dados passaram por pré-processamento, incluindo: alisamento, padronização normal do sinal e aplicação da primeira derivada. Foi realizada a análise de componentes principais e desenvolvido o modelo de regressão pelo método dos mínimos quadrados parciais. O conjunto de calibração/validação cruzada empregou 66 amostras e o conjunto de validação externa teve 30 amostras. Os coeficientes de correlação (R) para os conjuntos de calibração, validação cruzada e predição foram de 0,99; 0,94 e 0,9, respectivamente. A raiz da média quadrática dos desvios de calibração (4,74), de validação cruzada (10,52) e de predição (11,89) foi estimada. O modelo apresentou erro-padrão de calibração (4,77), erro-padrão de validação cruzada (10,60) e erro-padrão de predição (12,67). Os resultados confirmam a viabilidade de utilização da técnica NIRS para a predição da TFS de forma rápida</w:t>
      </w:r>
      <w:r w:rsidR="001051AE">
        <w:rPr>
          <w:rFonts w:eastAsia="Times New Roman" w:cs="Times New Roman"/>
          <w:color w:val="000000"/>
        </w:rPr>
        <w:t>,</w:t>
      </w:r>
      <w:r w:rsidRPr="00B34331">
        <w:rPr>
          <w:rFonts w:eastAsia="Times New Roman" w:cs="Times New Roman"/>
          <w:color w:val="000000"/>
        </w:rPr>
        <w:t xml:space="preserve"> com precisão e exatidão adequada ao propósito pretendido. </w:t>
      </w:r>
    </w:p>
    <w:p w14:paraId="0000000C" w14:textId="77777777" w:rsidR="00D6247D" w:rsidRPr="00B34331" w:rsidRDefault="00D624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Times New Roman" w:cs="Times New Roman"/>
          <w:color w:val="000000"/>
          <w:sz w:val="22"/>
          <w:szCs w:val="22"/>
        </w:rPr>
      </w:pPr>
    </w:p>
    <w:p w14:paraId="0000000D" w14:textId="77777777" w:rsidR="00D6247D" w:rsidRPr="0095619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Times New Roman" w:cs="Times New Roman"/>
          <w:color w:val="000000"/>
          <w:sz w:val="20"/>
          <w:szCs w:val="20"/>
        </w:rPr>
      </w:pPr>
      <w:r w:rsidRPr="00956196">
        <w:rPr>
          <w:rFonts w:eastAsia="Times New Roman" w:cs="Times New Roman"/>
          <w:b/>
          <w:color w:val="000000"/>
          <w:sz w:val="20"/>
          <w:szCs w:val="20"/>
        </w:rPr>
        <w:t>Apoio financeiro:</w:t>
      </w:r>
      <w:r w:rsidRPr="00956196">
        <w:rPr>
          <w:rFonts w:eastAsia="Times New Roman" w:cs="Times New Roman"/>
          <w:color w:val="000000"/>
          <w:sz w:val="20"/>
          <w:szCs w:val="20"/>
        </w:rPr>
        <w:t xml:space="preserve"> Embrapa</w:t>
      </w:r>
    </w:p>
    <w:p w14:paraId="0000000E" w14:textId="77777777" w:rsidR="00D6247D" w:rsidRPr="0095619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Times New Roman" w:cs="Times New Roman"/>
          <w:color w:val="000000"/>
          <w:sz w:val="20"/>
          <w:szCs w:val="20"/>
        </w:rPr>
      </w:pPr>
      <w:r w:rsidRPr="00956196">
        <w:rPr>
          <w:rFonts w:eastAsia="Times New Roman" w:cs="Times New Roman"/>
          <w:b/>
          <w:color w:val="000000"/>
          <w:sz w:val="20"/>
          <w:szCs w:val="20"/>
        </w:rPr>
        <w:t xml:space="preserve">Área: </w:t>
      </w:r>
      <w:r w:rsidRPr="00956196">
        <w:rPr>
          <w:rFonts w:eastAsia="Times New Roman" w:cs="Times New Roman"/>
          <w:color w:val="000000"/>
          <w:sz w:val="20"/>
          <w:szCs w:val="20"/>
        </w:rPr>
        <w:t>Melhoramento Genético Vegetal</w:t>
      </w:r>
    </w:p>
    <w:p w14:paraId="0000000F" w14:textId="77777777" w:rsidR="00D6247D" w:rsidRPr="0095619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Times New Roman" w:cs="Times New Roman"/>
          <w:color w:val="000000"/>
          <w:sz w:val="20"/>
          <w:szCs w:val="20"/>
        </w:rPr>
      </w:pPr>
      <w:r w:rsidRPr="00956196">
        <w:rPr>
          <w:rFonts w:eastAsia="Times New Roman" w:cs="Times New Roman"/>
          <w:b/>
          <w:color w:val="000000"/>
          <w:sz w:val="20"/>
          <w:szCs w:val="20"/>
        </w:rPr>
        <w:t>Palavras-chave</w:t>
      </w:r>
      <w:r w:rsidRPr="00956196">
        <w:rPr>
          <w:rFonts w:eastAsia="Times New Roman" w:cs="Times New Roman"/>
          <w:color w:val="000000"/>
          <w:sz w:val="20"/>
          <w:szCs w:val="20"/>
        </w:rPr>
        <w:t>: Melhoramento Genético, Forrageiras, Pastagens, Análise Multivariada.</w:t>
      </w:r>
    </w:p>
    <w:p w14:paraId="00000010" w14:textId="77777777" w:rsidR="00D6247D" w:rsidRPr="0095619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Times New Roman" w:cs="Times New Roman"/>
          <w:color w:val="000000"/>
          <w:sz w:val="20"/>
          <w:szCs w:val="20"/>
        </w:rPr>
      </w:pPr>
      <w:sdt>
        <w:sdtPr>
          <w:rPr>
            <w:rFonts w:cs="Times New Roman"/>
            <w:sz w:val="20"/>
            <w:szCs w:val="20"/>
          </w:rPr>
          <w:tag w:val="goog_rdk_0"/>
          <w:id w:val="-1085615694"/>
        </w:sdtPr>
        <w:sdtContent>
          <w:commentRangeStart w:id="2"/>
        </w:sdtContent>
      </w:sdt>
      <w:r w:rsidRPr="00956196">
        <w:rPr>
          <w:rFonts w:eastAsia="Times New Roman" w:cs="Times New Roman"/>
          <w:b/>
          <w:color w:val="000000"/>
          <w:sz w:val="20"/>
          <w:szCs w:val="20"/>
          <w:highlight w:val="yellow"/>
        </w:rPr>
        <w:t xml:space="preserve">Número Cadastro </w:t>
      </w:r>
      <w:proofErr w:type="spellStart"/>
      <w:r w:rsidRPr="00956196">
        <w:rPr>
          <w:rFonts w:eastAsia="Times New Roman" w:cs="Times New Roman"/>
          <w:b/>
          <w:color w:val="000000"/>
          <w:sz w:val="20"/>
          <w:szCs w:val="20"/>
          <w:highlight w:val="yellow"/>
        </w:rPr>
        <w:t>SisGen</w:t>
      </w:r>
      <w:proofErr w:type="spellEnd"/>
      <w:r w:rsidRPr="00956196">
        <w:rPr>
          <w:rFonts w:eastAsia="Times New Roman" w:cs="Times New Roman"/>
          <w:b/>
          <w:color w:val="000000"/>
          <w:sz w:val="20"/>
          <w:szCs w:val="20"/>
          <w:highlight w:val="yellow"/>
        </w:rPr>
        <w:t>:</w:t>
      </w:r>
      <w:r w:rsidRPr="00956196">
        <w:rPr>
          <w:rFonts w:eastAsia="Times New Roman" w:cs="Times New Roman"/>
          <w:color w:val="000000"/>
          <w:sz w:val="20"/>
          <w:szCs w:val="20"/>
          <w:highlight w:val="yellow"/>
        </w:rPr>
        <w:t xml:space="preserve"> ????</w:t>
      </w:r>
      <w:commentRangeEnd w:id="2"/>
      <w:r w:rsidRPr="00956196">
        <w:rPr>
          <w:rFonts w:cs="Times New Roman"/>
          <w:sz w:val="20"/>
          <w:szCs w:val="20"/>
        </w:rPr>
        <w:commentReference w:id="2"/>
      </w:r>
    </w:p>
    <w:sectPr w:rsidR="00D6247D" w:rsidRPr="00956196" w:rsidSect="00B343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701" w:right="1418" w:bottom="1418" w:left="1418" w:header="709" w:footer="709" w:gutter="0"/>
      <w:lnNumType w:countBy="1" w:restart="continuous"/>
      <w:pgNumType w:start="1"/>
      <w:cols w:space="720"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ad hoc" w:date="2023-07-05T14:45:00Z" w:initials="">
    <w:p w14:paraId="00000018" w14:textId="77777777" w:rsidR="00D6247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Totalmente aplicável, preciso do CPF do Gabriel e da Amanda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000001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000018" w16cid:durableId="2853B6A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F1F53" w14:textId="77777777" w:rsidR="00CE1926" w:rsidRDefault="00CE1926">
      <w:pPr>
        <w:spacing w:line="240" w:lineRule="auto"/>
        <w:ind w:left="0" w:hanging="2"/>
      </w:pPr>
      <w:r>
        <w:separator/>
      </w:r>
    </w:p>
  </w:endnote>
  <w:endnote w:type="continuationSeparator" w:id="0">
    <w:p w14:paraId="6A16C435" w14:textId="77777777" w:rsidR="00CE1926" w:rsidRDefault="00CE192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7" w14:textId="77777777" w:rsidR="00D6247D" w:rsidRDefault="00D6247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6" w14:textId="77777777" w:rsidR="00D6247D" w:rsidRDefault="00D6247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5" w14:textId="77777777" w:rsidR="00D6247D" w:rsidRDefault="00D6247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D1A95" w14:textId="77777777" w:rsidR="00CE1926" w:rsidRDefault="00CE1926">
      <w:pPr>
        <w:spacing w:line="240" w:lineRule="auto"/>
        <w:ind w:left="0" w:hanging="2"/>
      </w:pPr>
      <w:r>
        <w:separator/>
      </w:r>
    </w:p>
  </w:footnote>
  <w:footnote w:type="continuationSeparator" w:id="0">
    <w:p w14:paraId="19E8D9DB" w14:textId="77777777" w:rsidR="00CE1926" w:rsidRDefault="00CE192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1" w14:textId="77777777" w:rsidR="00D6247D" w:rsidRDefault="00D6247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3" w14:textId="4ED158E8" w:rsidR="00D6247D" w:rsidRPr="00956196" w:rsidRDefault="0095619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Arial" w:eastAsia="Times New Roman" w:hAnsi="Arial" w:cs="Arial"/>
        <w:color w:val="000000"/>
        <w:sz w:val="20"/>
        <w:szCs w:val="20"/>
      </w:rPr>
    </w:pPr>
    <w:bookmarkStart w:id="3" w:name="_Hlk139705405"/>
    <w:bookmarkStart w:id="4" w:name="_Hlk139705406"/>
    <w:r>
      <w:rPr>
        <w:rFonts w:ascii="Arial" w:eastAsia="Times New Roman" w:hAnsi="Arial" w:cs="Arial"/>
        <w:color w:val="000000"/>
        <w:sz w:val="20"/>
        <w:szCs w:val="20"/>
      </w:rPr>
      <w:t>Resumo</w:t>
    </w:r>
    <w:r w:rsidR="00000000" w:rsidRPr="00956196">
      <w:rPr>
        <w:rFonts w:ascii="Arial" w:eastAsia="Times New Roman" w:hAnsi="Arial" w:cs="Arial"/>
        <w:color w:val="000000"/>
        <w:sz w:val="20"/>
        <w:szCs w:val="20"/>
      </w:rPr>
      <w:t xml:space="preserve"> da 15ª Jornada Científica – Embrapa São Carlos – 22 de agosto de 2023</w:t>
    </w:r>
  </w:p>
  <w:p w14:paraId="00000014" w14:textId="19AF19A8" w:rsidR="00D6247D" w:rsidRPr="00956196" w:rsidRDefault="00956196">
    <w:pPr>
      <w:pBdr>
        <w:top w:val="nil"/>
        <w:left w:val="nil"/>
        <w:bottom w:val="single" w:sz="4" w:space="1" w:color="000000"/>
        <w:right w:val="nil"/>
        <w:between w:val="nil"/>
      </w:pBdr>
      <w:spacing w:line="240" w:lineRule="auto"/>
      <w:ind w:left="0" w:hanging="2"/>
      <w:jc w:val="center"/>
      <w:rPr>
        <w:rFonts w:ascii="Arial" w:eastAsia="Times New Roman" w:hAnsi="Arial" w:cs="Arial"/>
        <w:color w:val="000000"/>
        <w:sz w:val="20"/>
        <w:szCs w:val="20"/>
      </w:rPr>
    </w:pPr>
    <w:r w:rsidRPr="00956196">
      <w:rPr>
        <w:rFonts w:ascii="Arial" w:eastAsia="Times New Roman" w:hAnsi="Arial" w:cs="Arial"/>
        <w:color w:val="000000"/>
        <w:sz w:val="20"/>
        <w:szCs w:val="20"/>
      </w:rPr>
      <w:t xml:space="preserve">Embrapa Pecuária Sudeste </w:t>
    </w:r>
    <w:r>
      <w:rPr>
        <w:rFonts w:ascii="Arial" w:eastAsia="Times New Roman" w:hAnsi="Arial" w:cs="Arial"/>
        <w:color w:val="000000"/>
        <w:sz w:val="20"/>
        <w:szCs w:val="20"/>
      </w:rPr>
      <w:t>e</w:t>
    </w:r>
    <w:r>
      <w:rPr>
        <w:rFonts w:ascii="Arial" w:hAnsi="Arial" w:cs="Arial"/>
        <w:color w:val="000000"/>
      </w:rPr>
      <w:t xml:space="preserve"> </w:t>
    </w:r>
    <w:r w:rsidRPr="00956196">
      <w:rPr>
        <w:rFonts w:ascii="Arial" w:eastAsia="Times New Roman" w:hAnsi="Arial" w:cs="Arial"/>
        <w:color w:val="000000"/>
        <w:sz w:val="20"/>
        <w:szCs w:val="20"/>
      </w:rPr>
      <w:t>Embrapa Instrumentação</w:t>
    </w:r>
    <w:r w:rsidR="00000000" w:rsidRPr="00956196">
      <w:rPr>
        <w:rFonts w:ascii="Arial" w:eastAsia="Times New Roman" w:hAnsi="Arial" w:cs="Arial"/>
        <w:color w:val="000000"/>
        <w:sz w:val="20"/>
        <w:szCs w:val="20"/>
      </w:rPr>
      <w:t xml:space="preserve"> – São Carlos, SP - Brasil</w:t>
    </w:r>
    <w:bookmarkEnd w:id="3"/>
    <w:bookmarkEnd w:id="4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2" w14:textId="77777777" w:rsidR="00D6247D" w:rsidRDefault="00D6247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47D"/>
    <w:rsid w:val="001051AE"/>
    <w:rsid w:val="00956196"/>
    <w:rsid w:val="00B34331"/>
    <w:rsid w:val="00CE1926"/>
    <w:rsid w:val="00D6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27A55"/>
  <w15:docId w15:val="{73A7FF58-EFF2-4BEF-83CD-D17FB4E91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33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hAnsi="Times New Roman"/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/>
    </w:pPr>
    <w:rPr>
      <w:rFonts w:ascii="Calibri" w:eastAsia="Times New Roman" w:hAnsi="Calibri" w:cs="Times New Roman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mrio1">
    <w:name w:val="toc 1"/>
    <w:basedOn w:val="Normal"/>
    <w:next w:val="Normal"/>
    <w:pPr>
      <w:suppressAutoHyphens w:val="0"/>
      <w:textDirection w:val="lrTb"/>
    </w:pPr>
    <w:rPr>
      <w:rFonts w:ascii="Univers" w:hAnsi="Univers"/>
    </w:rPr>
  </w:style>
  <w:style w:type="paragraph" w:styleId="Sumrio2">
    <w:name w:val="toc 2"/>
    <w:basedOn w:val="Normal"/>
    <w:next w:val="Normal"/>
    <w:pPr>
      <w:suppressAutoHyphens w:val="0"/>
      <w:ind w:left="240"/>
      <w:textDirection w:val="lrTb"/>
    </w:pPr>
    <w:rPr>
      <w:rFonts w:ascii="Univers" w:hAnsi="Univers"/>
    </w:rPr>
  </w:style>
  <w:style w:type="paragraph" w:styleId="Sumrio3">
    <w:name w:val="toc 3"/>
    <w:basedOn w:val="Normal"/>
    <w:next w:val="Normal"/>
    <w:pPr>
      <w:suppressAutoHyphens w:val="0"/>
      <w:ind w:left="480"/>
      <w:textDirection w:val="lrTb"/>
    </w:pPr>
    <w:rPr>
      <w:rFonts w:ascii="Univers" w:hAnsi="Univers"/>
    </w:rPr>
  </w:style>
  <w:style w:type="paragraph" w:styleId="Textodecomentrio">
    <w:name w:val="annotation text"/>
    <w:basedOn w:val="Normal"/>
    <w:pPr>
      <w:suppressAutoHyphens w:val="0"/>
      <w:textDirection w:val="lrTb"/>
    </w:pPr>
    <w:rPr>
      <w:rFonts w:ascii="Univers" w:hAnsi="Univers"/>
      <w:sz w:val="20"/>
    </w:rPr>
  </w:style>
  <w:style w:type="character" w:customStyle="1" w:styleId="TextodecomentrioChar">
    <w:name w:val="Texto de comentário Char"/>
    <w:rPr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Cabealho">
    <w:name w:val="header"/>
    <w:basedOn w:val="Normal"/>
    <w:pPr>
      <w:suppressAutoHyphens w:val="0"/>
      <w:textDirection w:val="lrTb"/>
    </w:pPr>
    <w:rPr>
      <w:rFonts w:ascii="Univers" w:hAnsi="Univers"/>
    </w:rPr>
  </w:style>
  <w:style w:type="character" w:customStyle="1" w:styleId="CabealhoChar">
    <w:name w:val="Cabeçalho Char"/>
    <w:rPr>
      <w:rFonts w:ascii="Univers" w:hAnsi="Univers"/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pPr>
      <w:suppressAutoHyphens w:val="0"/>
      <w:textDirection w:val="lrTb"/>
    </w:pPr>
    <w:rPr>
      <w:color w:val="000000"/>
    </w:rPr>
  </w:style>
  <w:style w:type="character" w:customStyle="1" w:styleId="RodapChar">
    <w:name w:val="Rodapé Char"/>
    <w:rPr>
      <w:color w:val="000000"/>
      <w:w w:val="100"/>
      <w:position w:val="-1"/>
      <w:effect w:val="none"/>
      <w:vertAlign w:val="baseline"/>
      <w:cs w:val="0"/>
      <w:em w:val="none"/>
    </w:rPr>
  </w:style>
  <w:style w:type="paragraph" w:styleId="Legenda">
    <w:name w:val="caption"/>
    <w:basedOn w:val="Normal"/>
    <w:next w:val="Normal"/>
    <w:pPr>
      <w:suppressAutoHyphens w:val="0"/>
      <w:textDirection w:val="lrTb"/>
    </w:pPr>
    <w:rPr>
      <w:i/>
      <w:iCs/>
      <w:color w:val="44546A"/>
      <w:sz w:val="18"/>
      <w:szCs w:val="18"/>
    </w:rPr>
  </w:style>
  <w:style w:type="paragraph" w:styleId="ndicedeilustraes">
    <w:name w:val="table of figures"/>
    <w:basedOn w:val="Normal"/>
    <w:next w:val="Normal"/>
    <w:pPr>
      <w:suppressAutoHyphens w:val="0"/>
      <w:textDirection w:val="lrTb"/>
    </w:pPr>
    <w:rPr>
      <w:color w:val="000000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pPr>
      <w:suppressAutoHyphens w:val="0"/>
      <w:spacing w:before="100" w:beforeAutospacing="1" w:after="100" w:afterAutospacing="1"/>
      <w:textDirection w:val="lrTb"/>
    </w:pPr>
    <w:rPr>
      <w:rFonts w:eastAsia="Times New Roman" w:cs="Times New Roman"/>
    </w:rPr>
  </w:style>
  <w:style w:type="paragraph" w:styleId="Assuntodocomentrio">
    <w:name w:val="annotation subject"/>
    <w:basedOn w:val="Textodecomentrio"/>
    <w:next w:val="Textodecomentrio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rPr>
      <w:b/>
      <w:bCs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balo">
    <w:name w:val="Balloon Text"/>
    <w:basedOn w:val="Normal"/>
    <w:pPr>
      <w:suppressAutoHyphens w:val="0"/>
      <w:textDirection w:val="lrTb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 w:val="0"/>
      <w:ind w:left="720"/>
      <w:contextualSpacing/>
      <w:textDirection w:val="lrTb"/>
    </w:pPr>
    <w:rPr>
      <w:rFonts w:ascii="Univers" w:hAnsi="Univers"/>
    </w:rPr>
  </w:style>
  <w:style w:type="character" w:customStyle="1" w:styleId="Ttulo1Char">
    <w:name w:val="Título 1 Char"/>
    <w:rPr>
      <w:rFonts w:ascii="Calibri" w:eastAsia="Times New Roman" w:hAnsi="Calibri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CabealhodoSumrio">
    <w:name w:val="TOC Heading"/>
    <w:basedOn w:val="Ttulo1"/>
    <w:next w:val="Normal"/>
    <w:pPr>
      <w:suppressAutoHyphens w:val="0"/>
      <w:spacing w:line="276" w:lineRule="auto"/>
      <w:textDirection w:val="lrTb"/>
      <w:outlineLvl w:val="9"/>
    </w:pPr>
    <w:rPr>
      <w:rFonts w:ascii="Cambria" w:hAnsi="Cambria"/>
      <w:i/>
    </w:rPr>
  </w:style>
  <w:style w:type="character" w:styleId="MenoPendente">
    <w:name w:val="Unresolved Mention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pPr>
      <w:suppressAutoHyphens w:val="0"/>
      <w:textDirection w:val="lrTb"/>
    </w:pPr>
    <w:rPr>
      <w:rFonts w:ascii="Univers" w:hAnsi="Univers"/>
      <w:sz w:val="20"/>
    </w:rPr>
  </w:style>
  <w:style w:type="character" w:customStyle="1" w:styleId="TextodenotaderodapChar">
    <w:name w:val="Texto de nota de rodapé Char"/>
    <w:rPr>
      <w:rFonts w:ascii="Univers" w:hAnsi="Univer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TextodecomentrioChar1">
    <w:name w:val="Texto de comentário Char1"/>
    <w:rPr>
      <w:rFonts w:ascii="Univers" w:hAnsi="Univers"/>
      <w:w w:val="100"/>
      <w:position w:val="-1"/>
      <w:sz w:val="20"/>
      <w:effect w:val="none"/>
      <w:vertAlign w:val="baseline"/>
      <w:cs w:val="0"/>
      <w:em w:val="none"/>
    </w:rPr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pPr>
      <w:suppressAutoHyphens w:val="0"/>
      <w:spacing w:after="120"/>
      <w:ind w:left="283"/>
      <w:textDirection w:val="lrTb"/>
    </w:pPr>
    <w:rPr>
      <w:rFonts w:ascii="Univers" w:hAnsi="Univers"/>
      <w:sz w:val="16"/>
      <w:szCs w:val="16"/>
    </w:rPr>
  </w:style>
  <w:style w:type="character" w:customStyle="1" w:styleId="Recuodecorpodetexto3Char">
    <w:name w:val="Recuo de corpo de texto 3 Char"/>
    <w:rPr>
      <w:rFonts w:ascii="Univers" w:hAnsi="Univers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hiay27aLMimIhNJXPdugEZcUFQ==">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560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Gabriel Souza</cp:lastModifiedBy>
  <cp:revision>2</cp:revision>
  <dcterms:created xsi:type="dcterms:W3CDTF">2023-07-05T17:50:00Z</dcterms:created>
  <dcterms:modified xsi:type="dcterms:W3CDTF">2023-07-08T14:14:00Z</dcterms:modified>
</cp:coreProperties>
</file>