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61D1C" w14:textId="7A589ADC" w:rsidR="001B401B" w:rsidRPr="001B401B" w:rsidRDefault="001B401B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401B">
        <w:rPr>
          <w:rFonts w:ascii="Times New Roman" w:eastAsia="Times New Roman" w:hAnsi="Times New Roman" w:cs="Times New Roman"/>
          <w:bCs/>
          <w:sz w:val="28"/>
          <w:szCs w:val="28"/>
        </w:rPr>
        <w:t xml:space="preserve">Eficácia do tratamento anti-helmíntico em ovinos após substituição parasitária com isolado </w:t>
      </w:r>
      <w:bookmarkStart w:id="0" w:name="_Hlk139369342"/>
      <w:r w:rsidR="004A37A3" w:rsidRPr="001B401B">
        <w:rPr>
          <w:rFonts w:ascii="Times New Roman" w:eastAsia="Times New Roman" w:hAnsi="Times New Roman" w:cs="Times New Roman"/>
          <w:bCs/>
          <w:sz w:val="28"/>
          <w:szCs w:val="28"/>
        </w:rPr>
        <w:t>suscetíve</w:t>
      </w:r>
      <w:r w:rsidR="004A37A3">
        <w:rPr>
          <w:rFonts w:ascii="Times New Roman" w:eastAsia="Times New Roman" w:hAnsi="Times New Roman" w:cs="Times New Roman"/>
          <w:bCs/>
          <w:sz w:val="28"/>
          <w:szCs w:val="28"/>
        </w:rPr>
        <w:t>l</w:t>
      </w:r>
      <w:r w:rsidR="004A37A3" w:rsidRPr="001B401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B401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Haemonchus contortus</w:t>
      </w:r>
      <w:r w:rsidRPr="001B40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End w:id="0"/>
    </w:p>
    <w:p w14:paraId="42F0EED1" w14:textId="77777777" w:rsidR="001B401B" w:rsidRDefault="001B401B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8B400D5" w14:textId="07CE364C" w:rsidR="001B401B" w:rsidRDefault="001B401B" w:rsidP="00287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Hornblenda Joaquina Silva Bello¹</w:t>
      </w:r>
      <w:r w:rsidR="00371C04">
        <w:rPr>
          <w:rFonts w:ascii="Times New Roman" w:eastAsia="Times New Roman" w:hAnsi="Times New Roman" w:cs="Times New Roman"/>
          <w:bCs/>
        </w:rPr>
        <w:t>*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="00287CD0">
        <w:rPr>
          <w:rFonts w:ascii="Times New Roman" w:eastAsia="Times New Roman" w:hAnsi="Times New Roman" w:cs="Times New Roman"/>
          <w:bCs/>
        </w:rPr>
        <w:t xml:space="preserve">Rafaela Tami </w:t>
      </w:r>
      <w:r w:rsidR="00015028">
        <w:rPr>
          <w:rFonts w:ascii="Times New Roman" w:eastAsia="Times New Roman" w:hAnsi="Times New Roman" w:cs="Times New Roman"/>
          <w:bCs/>
        </w:rPr>
        <w:t xml:space="preserve">Ikeda </w:t>
      </w:r>
      <w:r w:rsidR="00287CD0">
        <w:rPr>
          <w:rFonts w:ascii="Times New Roman" w:eastAsia="Times New Roman" w:hAnsi="Times New Roman" w:cs="Times New Roman"/>
          <w:bCs/>
        </w:rPr>
        <w:t>Kapritchkoff</w:t>
      </w:r>
      <w:r w:rsidR="00875E65">
        <w:rPr>
          <w:rFonts w:ascii="Times New Roman" w:eastAsia="Times New Roman" w:hAnsi="Times New Roman" w:cs="Times New Roman"/>
          <w:bCs/>
        </w:rPr>
        <w:t>²</w:t>
      </w:r>
      <w:r w:rsidR="00287CD0">
        <w:rPr>
          <w:rFonts w:ascii="Times New Roman" w:eastAsia="Times New Roman" w:hAnsi="Times New Roman" w:cs="Times New Roman"/>
          <w:bCs/>
        </w:rPr>
        <w:t>, Glaucia</w:t>
      </w:r>
      <w:r w:rsidR="00015028">
        <w:rPr>
          <w:rFonts w:ascii="Times New Roman" w:eastAsia="Times New Roman" w:hAnsi="Times New Roman" w:cs="Times New Roman"/>
          <w:bCs/>
        </w:rPr>
        <w:t xml:space="preserve"> </w:t>
      </w:r>
      <w:r w:rsidR="00457BEF">
        <w:rPr>
          <w:rFonts w:ascii="Times New Roman" w:eastAsia="Times New Roman" w:hAnsi="Times New Roman" w:cs="Times New Roman"/>
          <w:bCs/>
        </w:rPr>
        <w:t xml:space="preserve">Roberta </w:t>
      </w:r>
      <w:r w:rsidR="00015028">
        <w:rPr>
          <w:rFonts w:ascii="Times New Roman" w:eastAsia="Times New Roman" w:hAnsi="Times New Roman" w:cs="Times New Roman"/>
          <w:bCs/>
        </w:rPr>
        <w:t>Melito</w:t>
      </w:r>
      <w:r w:rsidR="00875E65">
        <w:rPr>
          <w:rFonts w:ascii="Times New Roman" w:eastAsia="Times New Roman" w:hAnsi="Times New Roman" w:cs="Times New Roman"/>
          <w:bCs/>
        </w:rPr>
        <w:t>¹</w:t>
      </w:r>
      <w:r w:rsidR="00287CD0">
        <w:rPr>
          <w:rFonts w:ascii="Times New Roman" w:eastAsia="Times New Roman" w:hAnsi="Times New Roman" w:cs="Times New Roman"/>
          <w:bCs/>
        </w:rPr>
        <w:t xml:space="preserve">, Maria Isabel </w:t>
      </w:r>
      <w:proofErr w:type="spellStart"/>
      <w:r w:rsidR="00287CD0">
        <w:rPr>
          <w:rFonts w:ascii="Times New Roman" w:eastAsia="Times New Roman" w:hAnsi="Times New Roman" w:cs="Times New Roman"/>
          <w:bCs/>
        </w:rPr>
        <w:t>Mariot</w:t>
      </w:r>
      <w:r w:rsidR="00015028">
        <w:rPr>
          <w:rFonts w:ascii="Times New Roman" w:eastAsia="Times New Roman" w:hAnsi="Times New Roman" w:cs="Times New Roman"/>
          <w:bCs/>
        </w:rPr>
        <w:t>t</w:t>
      </w:r>
      <w:r w:rsidR="00287CD0">
        <w:rPr>
          <w:rFonts w:ascii="Times New Roman" w:eastAsia="Times New Roman" w:hAnsi="Times New Roman" w:cs="Times New Roman"/>
          <w:bCs/>
        </w:rPr>
        <w:t>i</w:t>
      </w:r>
      <w:r w:rsidR="00015028">
        <w:rPr>
          <w:rFonts w:ascii="Times New Roman" w:eastAsia="Times New Roman" w:hAnsi="Times New Roman" w:cs="Times New Roman"/>
          <w:bCs/>
        </w:rPr>
        <w:t>ni</w:t>
      </w:r>
      <w:proofErr w:type="spellEnd"/>
      <w:r w:rsidR="00287CD0">
        <w:rPr>
          <w:rFonts w:ascii="Times New Roman" w:eastAsia="Times New Roman" w:hAnsi="Times New Roman" w:cs="Times New Roman"/>
          <w:bCs/>
        </w:rPr>
        <w:t xml:space="preserve"> Fiorentino</w:t>
      </w:r>
      <w:r w:rsidR="00875E65">
        <w:rPr>
          <w:rFonts w:ascii="Times New Roman" w:eastAsia="Times New Roman" w:hAnsi="Times New Roman" w:cs="Times New Roman"/>
          <w:bCs/>
        </w:rPr>
        <w:t>¹</w:t>
      </w:r>
      <w:r w:rsidR="00287CD0">
        <w:rPr>
          <w:rFonts w:ascii="Times New Roman" w:eastAsia="Times New Roman" w:hAnsi="Times New Roman" w:cs="Times New Roman"/>
          <w:bCs/>
        </w:rPr>
        <w:t>,</w:t>
      </w:r>
      <w:r w:rsidR="00875E65">
        <w:rPr>
          <w:rFonts w:ascii="Times New Roman" w:eastAsia="Times New Roman" w:hAnsi="Times New Roman" w:cs="Times New Roman"/>
          <w:bCs/>
        </w:rPr>
        <w:t xml:space="preserve"> Juliana de Carvalho Santos¹, Flávia Aline Bressani¹, Renata Silva Matos¹,</w:t>
      </w:r>
      <w:r w:rsidR="00287CD0">
        <w:rPr>
          <w:rFonts w:ascii="Times New Roman" w:eastAsia="Times New Roman" w:hAnsi="Times New Roman" w:cs="Times New Roman"/>
          <w:bCs/>
        </w:rPr>
        <w:t xml:space="preserve"> </w:t>
      </w:r>
      <w:r w:rsidR="00015028">
        <w:rPr>
          <w:rFonts w:ascii="Times New Roman" w:eastAsia="Times New Roman" w:hAnsi="Times New Roman" w:cs="Times New Roman"/>
          <w:bCs/>
        </w:rPr>
        <w:t xml:space="preserve">Sérgio </w:t>
      </w:r>
      <w:proofErr w:type="spellStart"/>
      <w:r w:rsidR="00015028">
        <w:rPr>
          <w:rFonts w:ascii="Times New Roman" w:eastAsia="Times New Roman" w:hAnsi="Times New Roman" w:cs="Times New Roman"/>
          <w:bCs/>
        </w:rPr>
        <w:t>Novita</w:t>
      </w:r>
      <w:proofErr w:type="spellEnd"/>
      <w:r w:rsidR="00015028">
        <w:rPr>
          <w:rFonts w:ascii="Times New Roman" w:eastAsia="Times New Roman" w:hAnsi="Times New Roman" w:cs="Times New Roman"/>
          <w:bCs/>
        </w:rPr>
        <w:t xml:space="preserve"> Esteves</w:t>
      </w:r>
      <w:r w:rsidR="00875E65">
        <w:rPr>
          <w:rFonts w:ascii="Times New Roman" w:eastAsia="Times New Roman" w:hAnsi="Times New Roman" w:cs="Times New Roman"/>
          <w:bCs/>
        </w:rPr>
        <w:t>¹</w:t>
      </w:r>
      <w:r w:rsidR="00015028">
        <w:rPr>
          <w:rFonts w:ascii="Times New Roman" w:eastAsia="Times New Roman" w:hAnsi="Times New Roman" w:cs="Times New Roman"/>
          <w:bCs/>
        </w:rPr>
        <w:t xml:space="preserve">, </w:t>
      </w:r>
      <w:r w:rsidR="00287CD0">
        <w:rPr>
          <w:rFonts w:ascii="Times New Roman" w:eastAsia="Times New Roman" w:hAnsi="Times New Roman" w:cs="Times New Roman"/>
          <w:bCs/>
        </w:rPr>
        <w:t>Ana Carolina de Souza Chagas</w:t>
      </w:r>
      <w:r w:rsidR="00875E65">
        <w:rPr>
          <w:rFonts w:ascii="Times New Roman" w:eastAsia="Times New Roman" w:hAnsi="Times New Roman" w:cs="Times New Roman"/>
          <w:bCs/>
        </w:rPr>
        <w:t>¹</w:t>
      </w:r>
      <w:r w:rsidR="00287CD0">
        <w:rPr>
          <w:rFonts w:ascii="Times New Roman" w:eastAsia="Times New Roman" w:hAnsi="Times New Roman" w:cs="Times New Roman"/>
          <w:bCs/>
        </w:rPr>
        <w:t>.</w:t>
      </w:r>
    </w:p>
    <w:p w14:paraId="145AA3AD" w14:textId="77777777" w:rsidR="00287CD0" w:rsidRDefault="00287CD0" w:rsidP="00287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14:paraId="4EE6FFE3" w14:textId="77777777" w:rsidR="00AF77B7" w:rsidRDefault="00AF77B7" w:rsidP="00AF77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*Pós-doutoranda, bellohornblenda@gmail.com</w:t>
      </w:r>
    </w:p>
    <w:p w14:paraId="5F084726" w14:textId="317FE3F2" w:rsidR="00457BEF" w:rsidRPr="00457BEF" w:rsidRDefault="00287CD0" w:rsidP="00371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¹: </w:t>
      </w:r>
      <w:r w:rsidR="00457BEF" w:rsidRPr="00457BEF">
        <w:rPr>
          <w:rFonts w:ascii="Times New Roman" w:eastAsia="Times New Roman" w:hAnsi="Times New Roman" w:cs="Times New Roman"/>
          <w:bCs/>
        </w:rPr>
        <w:t xml:space="preserve">Embrapa Pecuária Sudeste, Rodovia Washington Luiz, Km 234 s/n, Fazenda </w:t>
      </w:r>
      <w:proofErr w:type="spellStart"/>
      <w:r w:rsidR="00457BEF" w:rsidRPr="00457BEF">
        <w:rPr>
          <w:rFonts w:ascii="Times New Roman" w:eastAsia="Times New Roman" w:hAnsi="Times New Roman" w:cs="Times New Roman"/>
          <w:bCs/>
        </w:rPr>
        <w:t>Canchim</w:t>
      </w:r>
      <w:proofErr w:type="spellEnd"/>
      <w:r w:rsidR="00457BEF" w:rsidRPr="00457BEF">
        <w:rPr>
          <w:rFonts w:ascii="Times New Roman" w:eastAsia="Times New Roman" w:hAnsi="Times New Roman" w:cs="Times New Roman"/>
          <w:bCs/>
        </w:rPr>
        <w:t>, PO</w:t>
      </w:r>
      <w:r w:rsidR="00457BEF">
        <w:rPr>
          <w:rFonts w:ascii="Times New Roman" w:eastAsia="Times New Roman" w:hAnsi="Times New Roman" w:cs="Times New Roman"/>
          <w:bCs/>
        </w:rPr>
        <w:t xml:space="preserve"> </w:t>
      </w:r>
      <w:r w:rsidR="00457BEF" w:rsidRPr="00457BEF">
        <w:rPr>
          <w:rFonts w:ascii="Times New Roman" w:eastAsia="Times New Roman" w:hAnsi="Times New Roman" w:cs="Times New Roman"/>
          <w:bCs/>
        </w:rPr>
        <w:t>Box 339, 13560-970, São Carlos, S</w:t>
      </w:r>
      <w:r w:rsidR="00875E65">
        <w:rPr>
          <w:rFonts w:ascii="Times New Roman" w:eastAsia="Times New Roman" w:hAnsi="Times New Roman" w:cs="Times New Roman"/>
          <w:bCs/>
        </w:rPr>
        <w:t xml:space="preserve">ão </w:t>
      </w:r>
      <w:r w:rsidR="00457BEF" w:rsidRPr="00457BEF">
        <w:rPr>
          <w:rFonts w:ascii="Times New Roman" w:eastAsia="Times New Roman" w:hAnsi="Times New Roman" w:cs="Times New Roman"/>
          <w:bCs/>
        </w:rPr>
        <w:t>P</w:t>
      </w:r>
      <w:r w:rsidR="00875E65">
        <w:rPr>
          <w:rFonts w:ascii="Times New Roman" w:eastAsia="Times New Roman" w:hAnsi="Times New Roman" w:cs="Times New Roman"/>
          <w:bCs/>
        </w:rPr>
        <w:t>aulo</w:t>
      </w:r>
      <w:r w:rsidR="00457BEF" w:rsidRPr="00457BEF">
        <w:rPr>
          <w:rFonts w:ascii="Times New Roman" w:eastAsia="Times New Roman" w:hAnsi="Times New Roman" w:cs="Times New Roman"/>
          <w:bCs/>
        </w:rPr>
        <w:t>, Bra</w:t>
      </w:r>
      <w:r w:rsidR="00875E65">
        <w:rPr>
          <w:rFonts w:ascii="Times New Roman" w:eastAsia="Times New Roman" w:hAnsi="Times New Roman" w:cs="Times New Roman"/>
          <w:bCs/>
        </w:rPr>
        <w:t>s</w:t>
      </w:r>
      <w:r w:rsidR="00457BEF" w:rsidRPr="00457BEF">
        <w:rPr>
          <w:rFonts w:ascii="Times New Roman" w:eastAsia="Times New Roman" w:hAnsi="Times New Roman" w:cs="Times New Roman"/>
          <w:bCs/>
        </w:rPr>
        <w:t>il</w:t>
      </w:r>
    </w:p>
    <w:p w14:paraId="5B9E6CD2" w14:textId="77777777" w:rsidR="00457BEF" w:rsidRPr="00457BEF" w:rsidRDefault="00457BEF" w:rsidP="00371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7C1A355" w14:textId="7DD727C6" w:rsidR="00457BEF" w:rsidRPr="00457BEF" w:rsidRDefault="00457BEF" w:rsidP="00371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²:</w:t>
      </w:r>
      <w:r w:rsidRPr="00457BEF">
        <w:rPr>
          <w:rFonts w:ascii="Times New Roman" w:eastAsia="Times New Roman" w:hAnsi="Times New Roman" w:cs="Times New Roman"/>
          <w:bCs/>
        </w:rPr>
        <w:t xml:space="preserve"> Faculdade de Ciências Agrárias e Veterinárias, Universidade Estadual Paulista (UNESP),</w:t>
      </w:r>
    </w:p>
    <w:p w14:paraId="77B7C833" w14:textId="2E5EBE96" w:rsidR="00287CD0" w:rsidRDefault="00457BEF" w:rsidP="00371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57BEF">
        <w:rPr>
          <w:rFonts w:ascii="Times New Roman" w:eastAsia="Times New Roman" w:hAnsi="Times New Roman" w:cs="Times New Roman"/>
          <w:bCs/>
        </w:rPr>
        <w:t xml:space="preserve">Via de Acesso Prof. Paulo Donato </w:t>
      </w:r>
      <w:proofErr w:type="spellStart"/>
      <w:r w:rsidRPr="00457BEF">
        <w:rPr>
          <w:rFonts w:ascii="Times New Roman" w:eastAsia="Times New Roman" w:hAnsi="Times New Roman" w:cs="Times New Roman"/>
          <w:bCs/>
        </w:rPr>
        <w:t>Castellane</w:t>
      </w:r>
      <w:proofErr w:type="spellEnd"/>
      <w:r w:rsidRPr="00457BEF">
        <w:rPr>
          <w:rFonts w:ascii="Times New Roman" w:eastAsia="Times New Roman" w:hAnsi="Times New Roman" w:cs="Times New Roman"/>
          <w:bCs/>
        </w:rPr>
        <w:t>, s/n, 14884-900, Jaboticabal,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57BEF">
        <w:rPr>
          <w:rFonts w:ascii="Times New Roman" w:eastAsia="Times New Roman" w:hAnsi="Times New Roman" w:cs="Times New Roman"/>
          <w:bCs/>
        </w:rPr>
        <w:t>São Paulo, Bra</w:t>
      </w:r>
      <w:r w:rsidR="00875E65">
        <w:rPr>
          <w:rFonts w:ascii="Times New Roman" w:eastAsia="Times New Roman" w:hAnsi="Times New Roman" w:cs="Times New Roman"/>
          <w:bCs/>
        </w:rPr>
        <w:t>s</w:t>
      </w:r>
      <w:r w:rsidRPr="00457BEF">
        <w:rPr>
          <w:rFonts w:ascii="Times New Roman" w:eastAsia="Times New Roman" w:hAnsi="Times New Roman" w:cs="Times New Roman"/>
          <w:bCs/>
        </w:rPr>
        <w:t>il</w:t>
      </w:r>
    </w:p>
    <w:p w14:paraId="601169DE" w14:textId="77777777" w:rsidR="00287CD0" w:rsidRDefault="00287CD0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AC13DB4" w14:textId="2CF65D6A" w:rsidR="006B11DD" w:rsidRDefault="009F6BA7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 elevada prevalência da resistência de </w:t>
      </w:r>
      <w:r w:rsidRPr="001D3EA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Haemonchus contortus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aos anti-helmínticos tornou-se uma ameaça para a ovinocultura e, neste cenário, a substituição de populações resistentes por isolados suscetíveis apresenta-se como uma estratégia promissora.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Assim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o presente estudo teve como objetivo avaliar a eficácia do tratamento anti-helmíntico</w:t>
      </w:r>
      <w:r w:rsidR="00B7331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após a substituição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dos parasitas resistentes dos animais pelo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isolado </w:t>
      </w:r>
      <w:r w:rsidR="00FA39FC" w:rsidRPr="00FA39F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</w:t>
      </w:r>
      <w:r w:rsidR="004B03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="00FA39FC" w:rsidRPr="00FA39F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contortus</w:t>
      </w:r>
      <w:r w:rsidR="00FA39FC" w:rsidRP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Echevarria1991, </w:t>
      </w:r>
      <w:r w:rsidR="00FA39FC" w:rsidRPr="00FA39FC">
        <w:rPr>
          <w:rFonts w:ascii="Times New Roman" w:eastAsia="Times New Roman" w:hAnsi="Times New Roman" w:cs="Times New Roman"/>
          <w:bCs/>
          <w:sz w:val="24"/>
          <w:szCs w:val="24"/>
        </w:rPr>
        <w:t>suscetível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aos anti-helmínticos comerciais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>. Para isso,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180 ovelhas</w:t>
      </w:r>
      <w:r w:rsidR="00C12C99">
        <w:rPr>
          <w:rFonts w:ascii="Times New Roman" w:eastAsia="Times New Roman" w:hAnsi="Times New Roman" w:cs="Times New Roman"/>
          <w:bCs/>
          <w:sz w:val="24"/>
          <w:szCs w:val="24"/>
        </w:rPr>
        <w:t xml:space="preserve"> das raças </w:t>
      </w:r>
      <w:proofErr w:type="spellStart"/>
      <w:r w:rsidR="00C12C99">
        <w:rPr>
          <w:rFonts w:ascii="Times New Roman" w:eastAsia="Times New Roman" w:hAnsi="Times New Roman" w:cs="Times New Roman"/>
          <w:bCs/>
          <w:sz w:val="24"/>
          <w:szCs w:val="24"/>
        </w:rPr>
        <w:t>Dorper</w:t>
      </w:r>
      <w:proofErr w:type="spellEnd"/>
      <w:r w:rsidR="00C12C99">
        <w:rPr>
          <w:rFonts w:ascii="Times New Roman" w:eastAsia="Times New Roman" w:hAnsi="Times New Roman" w:cs="Times New Roman"/>
          <w:bCs/>
          <w:sz w:val="24"/>
          <w:szCs w:val="24"/>
        </w:rPr>
        <w:t>, Santa Inês e Texel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 xml:space="preserve">no terceiro mês de gestação em média,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foram divididas </w:t>
      </w:r>
      <w:r w:rsidR="00C12C99">
        <w:rPr>
          <w:rFonts w:ascii="Times New Roman" w:eastAsia="Times New Roman" w:hAnsi="Times New Roman" w:cs="Times New Roman"/>
          <w:bCs/>
          <w:sz w:val="24"/>
          <w:szCs w:val="24"/>
        </w:rPr>
        <w:t xml:space="preserve">igualitariamente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em 3 grupos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60 animais </w:t>
      </w:r>
      <w:r w:rsidR="004B03C9" w:rsidRPr="004B03C9">
        <w:rPr>
          <w:rFonts w:ascii="Times New Roman" w:eastAsia="Times New Roman" w:hAnsi="Times New Roman" w:cs="Times New Roman"/>
          <w:bCs/>
          <w:sz w:val="24"/>
          <w:szCs w:val="24"/>
        </w:rPr>
        <w:t>Controle (C)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4B03C9" w:rsidRPr="004B03C9">
        <w:rPr>
          <w:rFonts w:ascii="Times New Roman" w:eastAsia="Times New Roman" w:hAnsi="Times New Roman" w:cs="Times New Roman"/>
          <w:bCs/>
          <w:sz w:val="24"/>
          <w:szCs w:val="24"/>
        </w:rPr>
        <w:t>Substituição Parcial (SP)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r w:rsidR="004B03C9" w:rsidRPr="004B03C9">
        <w:rPr>
          <w:rFonts w:ascii="Times New Roman" w:eastAsia="Times New Roman" w:hAnsi="Times New Roman" w:cs="Times New Roman"/>
          <w:bCs/>
          <w:sz w:val="24"/>
          <w:szCs w:val="24"/>
        </w:rPr>
        <w:t>Substituição Total (ST)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. Os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grupos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SP e ST 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>(n=120)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foram </w:t>
      </w:r>
      <w:proofErr w:type="spellStart"/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desverminados</w:t>
      </w:r>
      <w:proofErr w:type="spellEnd"/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com o uso sequencial de anti-helmínticos,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ambos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infectad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s artificialmente com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000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L3 de </w:t>
      </w:r>
      <w:r w:rsidR="004B03C9" w:rsidRPr="001D3EA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</w:t>
      </w:r>
      <w:r w:rsidR="004B03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="004B03C9" w:rsidRPr="001D3EA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D3EA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contortus</w:t>
      </w:r>
      <w:proofErr w:type="spellEnd"/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e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dividid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s em dois piquetes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(n=60)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um 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>infestado naturalmente por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parasitas resistentes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(SP)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e outro 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em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piquete limpo e livre de contaminação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>(ST)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grupo 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ontrole 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(C)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não recebeu tratamento anti-helmíntico e foi alocado em pastagem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infestada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naturalmente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por parasitas resistentes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. Essas ovelhas deram origem a 126 cordeiros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>que foram</w:t>
      </w:r>
      <w:r w:rsidR="0034674D">
        <w:rPr>
          <w:rFonts w:ascii="Times New Roman" w:eastAsia="Times New Roman" w:hAnsi="Times New Roman" w:cs="Times New Roman"/>
          <w:bCs/>
          <w:sz w:val="24"/>
          <w:szCs w:val="24"/>
        </w:rPr>
        <w:t xml:space="preserve"> mantidos 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nos piquetes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>de suas respectivas mães</w:t>
      </w:r>
      <w:r w:rsidR="0034674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do nascimento 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até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aos 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>189 dias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 de vida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4674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O levantamento da resistência anti-helmíntica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pelo Teste da Redução da Contagem de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vos nas Fezes</w:t>
      </w:r>
      <w:r w:rsidR="00621E5F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>TRCOF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="0022235D">
        <w:rPr>
          <w:rFonts w:ascii="Times New Roman" w:eastAsia="Times New Roman" w:hAnsi="Times New Roman" w:cs="Times New Roman"/>
          <w:bCs/>
          <w:sz w:val="24"/>
          <w:szCs w:val="24"/>
        </w:rPr>
        <w:t xml:space="preserve">realizado nas matrizes </w:t>
      </w:r>
      <w:r w:rsidR="00621E5F" w:rsidRPr="00621E5F">
        <w:rPr>
          <w:rFonts w:ascii="Times New Roman" w:eastAsia="Times New Roman" w:hAnsi="Times New Roman" w:cs="Times New Roman"/>
          <w:bCs/>
          <w:sz w:val="24"/>
          <w:szCs w:val="24"/>
        </w:rPr>
        <w:t>antes da substituição parasitária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comprovou que os parasitos eram resistentes a todos os anti-helmínticos comerciais.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ara o </w:t>
      </w:r>
      <w:proofErr w:type="spellStart"/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>albendazol</w:t>
      </w:r>
      <w:proofErr w:type="spellEnd"/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e o </w:t>
      </w:r>
      <w:proofErr w:type="spellStart"/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>levamisol</w:t>
      </w:r>
      <w:proofErr w:type="spellEnd"/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, foram obtidos inicialmente 0% e 81% de eficácia, respectivamente. A resistência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inicial 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 todos os grupos químicos também foi confirmada pelo 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>Teste de Desenvolvimento Larvar (RESISTA-Test©).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67B5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467B51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pós </w:t>
      </w:r>
      <w:r w:rsidR="00AF16E0" w:rsidRPr="001D3EA4">
        <w:rPr>
          <w:rFonts w:ascii="Times New Roman" w:eastAsia="Times New Roman" w:hAnsi="Times New Roman" w:cs="Times New Roman"/>
          <w:bCs/>
          <w:sz w:val="24"/>
          <w:szCs w:val="24"/>
        </w:rPr>
        <w:t>50 dias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67B51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 infecção artificial,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novo TRCOF foi realizado nas ovelhas utilizando-se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>albendazol</w:t>
      </w:r>
      <w:proofErr w:type="spellEnd"/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+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>levamisol</w:t>
      </w:r>
      <w:proofErr w:type="spellEnd"/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 combinados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. Estes apresentaram 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eficácia de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85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%,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92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>% e 97% para os grupos C, SP e ST, respectivamente.</w:t>
      </w:r>
      <w:r w:rsidR="00AF16E0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AF16E0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TRCOF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realizados n</w:t>
      </w:r>
      <w:r w:rsidR="00AF16E0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os cordeiros 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 xml:space="preserve">com 147 dias de vida em média, que cresceram junto às mães nos </w:t>
      </w:r>
      <w:r w:rsidR="00F82F25" w:rsidRPr="00F82F25">
        <w:rPr>
          <w:rFonts w:ascii="Times New Roman" w:eastAsia="Times New Roman" w:hAnsi="Times New Roman" w:cs="Times New Roman"/>
          <w:bCs/>
          <w:sz w:val="24"/>
          <w:szCs w:val="24"/>
        </w:rPr>
        <w:t>grupos C, SP e ST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D2EF1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result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>ou</w:t>
      </w:r>
      <w:r w:rsidR="003D2EF1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em uma eficácia de 60%, 74% e 98%, respectivamente demonstrando o sucesso da infecção artificial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>, especialmente no ST</w:t>
      </w:r>
      <w:r w:rsidR="003D2EF1" w:rsidRPr="001D3EA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 xml:space="preserve">A evolução do desenvolvimento da resistência nos grupos continuará a ser monitorada por mais duas estações de monta dessas ovelhas. 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FA39FC" w:rsidRPr="00FA39FC">
        <w:t xml:space="preserve"> </w:t>
      </w:r>
      <w:r w:rsidR="00FA39FC" w:rsidRP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comprovada sensibilidade </w:t>
      </w:r>
      <w:r w:rsidR="00F82F25" w:rsidRPr="00F82F25">
        <w:rPr>
          <w:rFonts w:ascii="Times New Roman" w:eastAsia="Times New Roman" w:hAnsi="Times New Roman" w:cs="Times New Roman"/>
          <w:bCs/>
          <w:sz w:val="24"/>
          <w:szCs w:val="24"/>
        </w:rPr>
        <w:t xml:space="preserve">do isolado suscetível </w:t>
      </w:r>
      <w:r w:rsidR="00FA39FC" w:rsidRPr="00FA39FC">
        <w:rPr>
          <w:rFonts w:ascii="Times New Roman" w:eastAsia="Times New Roman" w:hAnsi="Times New Roman" w:cs="Times New Roman"/>
          <w:bCs/>
          <w:sz w:val="24"/>
          <w:szCs w:val="24"/>
        </w:rPr>
        <w:t>aos anti-helmínticos demonstra que a substituição pode ser explorada como uma estratégia plausível no controle parasitário sustentável em criações de ovinos.</w:t>
      </w:r>
    </w:p>
    <w:p w14:paraId="3C5AA65B" w14:textId="0E9B2254" w:rsidR="00812308" w:rsidRDefault="00812308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D333D4" w14:textId="77777777" w:rsidR="004E05AA" w:rsidRDefault="004E05AA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9DBFA5" w14:textId="140DD843" w:rsidR="00812308" w:rsidRPr="001C5552" w:rsidRDefault="00812308" w:rsidP="00812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C5552"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Fapesp</w:t>
      </w:r>
      <w:r w:rsidR="00B7331C"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-</w:t>
      </w:r>
      <w:r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B7331C" w:rsidRPr="001C5552">
        <w:rPr>
          <w:rFonts w:ascii="Times New Roman" w:eastAsia="Times New Roman" w:hAnsi="Times New Roman" w:cs="Times New Roman"/>
          <w:bCs/>
          <w:sz w:val="20"/>
          <w:szCs w:val="20"/>
        </w:rPr>
        <w:t>Fundação de Amparo à Pesquisa do Estado de São Paulo Processo n°</w:t>
      </w:r>
      <w:r w:rsidR="00FE2DB7" w:rsidRPr="001C5552">
        <w:rPr>
          <w:rFonts w:ascii="Times New Roman" w:eastAsia="Times New Roman" w:hAnsi="Times New Roman" w:cs="Times New Roman"/>
          <w:bCs/>
          <w:sz w:val="20"/>
          <w:szCs w:val="20"/>
        </w:rPr>
        <w:t>2022/07720-8</w:t>
      </w:r>
    </w:p>
    <w:p w14:paraId="72A17AFD" w14:textId="3DF4B0EB" w:rsidR="00812308" w:rsidRPr="001C5552" w:rsidRDefault="00812308" w:rsidP="00812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C5552">
        <w:rPr>
          <w:rFonts w:ascii="Times New Roman" w:eastAsia="Times New Roman" w:hAnsi="Times New Roman" w:cs="Times New Roman"/>
          <w:b/>
          <w:sz w:val="20"/>
          <w:szCs w:val="20"/>
        </w:rPr>
        <w:t>Área:</w:t>
      </w:r>
      <w:r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Ciências Agrárias</w:t>
      </w:r>
    </w:p>
    <w:p w14:paraId="6F33F3F2" w14:textId="37BF71FA" w:rsidR="00FA39FC" w:rsidRPr="001C5552" w:rsidRDefault="00FA39FC" w:rsidP="00812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C5552">
        <w:rPr>
          <w:rFonts w:ascii="Times New Roman" w:eastAsia="Times New Roman" w:hAnsi="Times New Roman" w:cs="Times New Roman"/>
          <w:b/>
          <w:sz w:val="20"/>
          <w:szCs w:val="20"/>
        </w:rPr>
        <w:t xml:space="preserve">Palavras-chave: </w:t>
      </w:r>
      <w:r w:rsidR="00E82104"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cordeiro, </w:t>
      </w:r>
      <w:r w:rsidR="004A37A3" w:rsidRPr="001C5552">
        <w:rPr>
          <w:rFonts w:ascii="Times New Roman" w:eastAsia="Times New Roman" w:hAnsi="Times New Roman" w:cs="Times New Roman"/>
          <w:bCs/>
          <w:sz w:val="20"/>
          <w:szCs w:val="20"/>
        </w:rPr>
        <w:t>helminto, resistência</w:t>
      </w:r>
      <w:r w:rsidR="00E82104"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e suscetibilidade.</w:t>
      </w:r>
      <w:r w:rsidR="004A37A3" w:rsidRPr="001C555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2EBB728" w14:textId="1384D8C0" w:rsidR="00310AAB" w:rsidRPr="001C5552" w:rsidRDefault="00310AAB" w:rsidP="00310AAB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C5552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1C5552">
        <w:rPr>
          <w:rFonts w:ascii="Times New Roman" w:hAnsi="Times New Roman"/>
          <w:b/>
          <w:sz w:val="20"/>
        </w:rPr>
        <w:t>SisGen</w:t>
      </w:r>
      <w:proofErr w:type="spellEnd"/>
      <w:r w:rsidRPr="001C5552">
        <w:rPr>
          <w:rFonts w:ascii="Times New Roman" w:hAnsi="Times New Roman"/>
          <w:b/>
          <w:sz w:val="20"/>
        </w:rPr>
        <w:t xml:space="preserve"> (se aplicável):</w:t>
      </w:r>
      <w:r w:rsidRPr="001C5552">
        <w:rPr>
          <w:rFonts w:ascii="Times New Roman" w:hAnsi="Times New Roman"/>
          <w:sz w:val="20"/>
        </w:rPr>
        <w:t xml:space="preserve"> </w:t>
      </w:r>
      <w:r w:rsidRPr="001C5552">
        <w:rPr>
          <w:rFonts w:ascii="Times New Roman" w:hAnsi="Times New Roman"/>
          <w:bCs/>
          <w:sz w:val="20"/>
        </w:rPr>
        <w:t>Nº A</w:t>
      </w:r>
      <w:r w:rsidR="00C12C99" w:rsidRPr="001C5552">
        <w:rPr>
          <w:rFonts w:ascii="Times New Roman" w:hAnsi="Times New Roman"/>
          <w:bCs/>
          <w:sz w:val="20"/>
        </w:rPr>
        <w:t>43C096</w:t>
      </w:r>
    </w:p>
    <w:p w14:paraId="07DE7338" w14:textId="254919EA" w:rsidR="00310AAB" w:rsidRPr="001C5552" w:rsidRDefault="00310AAB" w:rsidP="00310AAB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C5552">
        <w:rPr>
          <w:rFonts w:ascii="Times New Roman" w:hAnsi="Times New Roman"/>
          <w:b/>
          <w:sz w:val="20"/>
        </w:rPr>
        <w:t>Comitê de Ética (se aplicável):</w:t>
      </w:r>
      <w:r w:rsidRPr="001C5552">
        <w:rPr>
          <w:rFonts w:ascii="Times New Roman" w:hAnsi="Times New Roman"/>
          <w:sz w:val="20"/>
        </w:rPr>
        <w:t xml:space="preserve"> </w:t>
      </w:r>
      <w:r w:rsidRPr="001C5552">
        <w:rPr>
          <w:rFonts w:ascii="Times New Roman" w:hAnsi="Times New Roman"/>
          <w:bCs/>
          <w:iCs/>
          <w:color w:val="000000"/>
          <w:sz w:val="20"/>
        </w:rPr>
        <w:t>CEUA PRT Nº 02/2022.</w:t>
      </w:r>
    </w:p>
    <w:p w14:paraId="0827FBA1" w14:textId="5D6F59A4" w:rsidR="002C3296" w:rsidRPr="001C5552" w:rsidRDefault="00310AAB" w:rsidP="001C5552">
      <w:pPr>
        <w:spacing w:after="0" w:line="240" w:lineRule="auto"/>
        <w:jc w:val="both"/>
        <w:rPr>
          <w:sz w:val="20"/>
          <w:szCs w:val="20"/>
        </w:rPr>
      </w:pPr>
      <w:r w:rsidRPr="001C5552">
        <w:rPr>
          <w:rFonts w:ascii="Times New Roman" w:hAnsi="Times New Roman"/>
          <w:b/>
          <w:sz w:val="20"/>
          <w:szCs w:val="20"/>
        </w:rPr>
        <w:t>N. do Processo PIBIC/PIBIT (se aplicável):</w:t>
      </w:r>
      <w:r w:rsidR="006270C8">
        <w:rPr>
          <w:rFonts w:ascii="Times New Roman" w:hAnsi="Times New Roman"/>
          <w:b/>
          <w:sz w:val="20"/>
          <w:szCs w:val="20"/>
        </w:rPr>
        <w:t xml:space="preserve"> </w:t>
      </w:r>
      <w:r w:rsidR="006270C8" w:rsidRPr="00244AE7">
        <w:rPr>
          <w:rFonts w:ascii="Times New Roman" w:hAnsi="Times New Roman" w:cs="Times New Roman"/>
          <w:sz w:val="20"/>
          <w:szCs w:val="20"/>
        </w:rPr>
        <w:t>n° 128581/2022-0</w:t>
      </w:r>
      <w:r w:rsidR="006270C8">
        <w:rPr>
          <w:rFonts w:ascii="Times New Roman" w:hAnsi="Times New Roman" w:cs="Times New Roman"/>
          <w:sz w:val="20"/>
          <w:szCs w:val="20"/>
        </w:rPr>
        <w:t>, n° 138386/2022-6</w:t>
      </w:r>
    </w:p>
    <w:sectPr w:rsidR="002C3296" w:rsidRPr="001C5552" w:rsidSect="00287CD0">
      <w:headerReference w:type="default" r:id="rId7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9821A" w14:textId="77777777" w:rsidR="003836DC" w:rsidRDefault="003836DC" w:rsidP="006B11DD">
      <w:pPr>
        <w:spacing w:after="0" w:line="240" w:lineRule="auto"/>
      </w:pPr>
      <w:r>
        <w:separator/>
      </w:r>
    </w:p>
  </w:endnote>
  <w:endnote w:type="continuationSeparator" w:id="0">
    <w:p w14:paraId="0B703978" w14:textId="77777777" w:rsidR="003836DC" w:rsidRDefault="003836DC" w:rsidP="006B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A1FAE" w14:textId="77777777" w:rsidR="003836DC" w:rsidRDefault="003836DC" w:rsidP="006B11DD">
      <w:pPr>
        <w:spacing w:after="0" w:line="240" w:lineRule="auto"/>
      </w:pPr>
      <w:r>
        <w:separator/>
      </w:r>
    </w:p>
  </w:footnote>
  <w:footnote w:type="continuationSeparator" w:id="0">
    <w:p w14:paraId="54F8ACB1" w14:textId="77777777" w:rsidR="003836DC" w:rsidRDefault="003836DC" w:rsidP="006B1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69373" w14:textId="322EE856" w:rsidR="006B11DD" w:rsidRPr="006B11DD" w:rsidRDefault="006B11DD" w:rsidP="00287CD0">
    <w:pPr>
      <w:pStyle w:val="Cabealho"/>
      <w:jc w:val="center"/>
      <w:rPr>
        <w:rFonts w:ascii="Times New Roman" w:hAnsi="Times New Roman" w:cs="Times New Roman"/>
        <w:lang w:val="pt-BR"/>
      </w:rPr>
    </w:pPr>
    <w:r w:rsidRPr="006B11DD">
      <w:rPr>
        <w:rFonts w:ascii="Times New Roman" w:hAnsi="Times New Roman" w:cs="Times New Roman"/>
        <w:lang w:val="pt-BR"/>
      </w:rPr>
      <w:t>Resumo da 15° Jornada Científica – Embrapa São Carlos – 22 de agosto de 2023</w:t>
    </w:r>
  </w:p>
  <w:p w14:paraId="4C93F87E" w14:textId="60DF1BB1" w:rsidR="006B11DD" w:rsidRPr="006B11DD" w:rsidRDefault="006B11DD" w:rsidP="00287CD0">
    <w:pPr>
      <w:pStyle w:val="Cabealho"/>
      <w:pBdr>
        <w:bottom w:val="single" w:sz="4" w:space="1" w:color="auto"/>
      </w:pBdr>
      <w:jc w:val="center"/>
      <w:rPr>
        <w:rFonts w:ascii="Times New Roman" w:hAnsi="Times New Roman" w:cs="Times New Roman"/>
        <w:lang w:val="pt-BR"/>
      </w:rPr>
    </w:pPr>
    <w:r w:rsidRPr="006B11DD">
      <w:rPr>
        <w:rFonts w:ascii="Times New Roman" w:hAnsi="Times New Roman" w:cs="Times New Roman"/>
        <w:lang w:val="pt-BR"/>
      </w:rPr>
      <w:t>Embrapa Pecuária Sudeste e Embrapa Instrumentação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DD"/>
    <w:rsid w:val="00015028"/>
    <w:rsid w:val="00051058"/>
    <w:rsid w:val="001B401B"/>
    <w:rsid w:val="001C3ACA"/>
    <w:rsid w:val="001C5552"/>
    <w:rsid w:val="001D3EA4"/>
    <w:rsid w:val="0022235D"/>
    <w:rsid w:val="00287CD0"/>
    <w:rsid w:val="002C3296"/>
    <w:rsid w:val="002C4CF1"/>
    <w:rsid w:val="00310AAB"/>
    <w:rsid w:val="0034674D"/>
    <w:rsid w:val="00371C04"/>
    <w:rsid w:val="003836DC"/>
    <w:rsid w:val="003D2EF1"/>
    <w:rsid w:val="00457BEF"/>
    <w:rsid w:val="00467B51"/>
    <w:rsid w:val="004A37A3"/>
    <w:rsid w:val="004B03C9"/>
    <w:rsid w:val="004E05AA"/>
    <w:rsid w:val="005F7C6E"/>
    <w:rsid w:val="00621E5F"/>
    <w:rsid w:val="006270C8"/>
    <w:rsid w:val="006B11DD"/>
    <w:rsid w:val="007256D4"/>
    <w:rsid w:val="008034E3"/>
    <w:rsid w:val="00812308"/>
    <w:rsid w:val="00817BBF"/>
    <w:rsid w:val="008403B6"/>
    <w:rsid w:val="00875E65"/>
    <w:rsid w:val="008956A0"/>
    <w:rsid w:val="008A6F7A"/>
    <w:rsid w:val="008F7E26"/>
    <w:rsid w:val="009610EA"/>
    <w:rsid w:val="009B3D67"/>
    <w:rsid w:val="009F6BA7"/>
    <w:rsid w:val="00A50D66"/>
    <w:rsid w:val="00AF16E0"/>
    <w:rsid w:val="00AF77B7"/>
    <w:rsid w:val="00B45A78"/>
    <w:rsid w:val="00B7331C"/>
    <w:rsid w:val="00C12C99"/>
    <w:rsid w:val="00E82104"/>
    <w:rsid w:val="00EF370C"/>
    <w:rsid w:val="00F82F25"/>
    <w:rsid w:val="00FA39FC"/>
    <w:rsid w:val="00F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6C2C"/>
  <w15:docId w15:val="{180EF424-BA0D-42B1-AD82-D6E132C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1DD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11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B11DD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B11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6B11DD"/>
    <w:rPr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287CD0"/>
  </w:style>
  <w:style w:type="character" w:styleId="Refdecomentrio">
    <w:name w:val="annotation reference"/>
    <w:basedOn w:val="Fontepargpadro"/>
    <w:uiPriority w:val="99"/>
    <w:semiHidden/>
    <w:unhideWhenUsed/>
    <w:rsid w:val="004B03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B03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B03C9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03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03C9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0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C9"/>
    <w:rPr>
      <w:rFonts w:ascii="Tahoma" w:eastAsia="Calibri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semiHidden/>
    <w:rsid w:val="00310AA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10AAB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C83B4-0D39-4E2C-B872-74D180FF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Hornblenda Bello</dc:creator>
  <cp:lastModifiedBy>Hornblenda Bello</cp:lastModifiedBy>
  <cp:revision>2</cp:revision>
  <dcterms:created xsi:type="dcterms:W3CDTF">2023-07-11T14:44:00Z</dcterms:created>
  <dcterms:modified xsi:type="dcterms:W3CDTF">2023-07-11T14:44:00Z</dcterms:modified>
</cp:coreProperties>
</file>