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647" w:rsidRDefault="00F579F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8"/>
          <w:szCs w:val="28"/>
        </w:rPr>
        <w:t>Encapsulamento</w:t>
      </w:r>
      <w:proofErr w:type="spellEnd"/>
      <w:r>
        <w:rPr>
          <w:b/>
          <w:color w:val="000000"/>
          <w:sz w:val="28"/>
          <w:szCs w:val="28"/>
        </w:rPr>
        <w:t xml:space="preserve"> de </w:t>
      </w:r>
      <w:proofErr w:type="spellStart"/>
      <w:r>
        <w:rPr>
          <w:b/>
          <w:color w:val="000000"/>
          <w:sz w:val="28"/>
          <w:szCs w:val="28"/>
        </w:rPr>
        <w:t>inoculantes</w:t>
      </w:r>
      <w:proofErr w:type="spellEnd"/>
      <w:r>
        <w:rPr>
          <w:b/>
          <w:color w:val="000000"/>
          <w:sz w:val="28"/>
          <w:szCs w:val="28"/>
        </w:rPr>
        <w:t xml:space="preserve"> microbianos em matriz de</w:t>
      </w:r>
    </w:p>
    <w:p w:rsidR="009C5647" w:rsidRDefault="00F579F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proofErr w:type="spellStart"/>
      <w:proofErr w:type="gramStart"/>
      <w:r>
        <w:rPr>
          <w:b/>
          <w:color w:val="000000"/>
          <w:sz w:val="28"/>
          <w:szCs w:val="28"/>
        </w:rPr>
        <w:t>carboximetilcelulose</w:t>
      </w:r>
      <w:proofErr w:type="spellEnd"/>
      <w:proofErr w:type="gramEnd"/>
      <w:r>
        <w:rPr>
          <w:b/>
          <w:color w:val="000000"/>
          <w:sz w:val="28"/>
          <w:szCs w:val="28"/>
        </w:rPr>
        <w:t xml:space="preserve"> reforçada com </w:t>
      </w:r>
      <w:proofErr w:type="spellStart"/>
      <w:r>
        <w:rPr>
          <w:b/>
          <w:color w:val="000000"/>
          <w:sz w:val="28"/>
          <w:szCs w:val="28"/>
        </w:rPr>
        <w:t>nanocelulose</w:t>
      </w:r>
      <w:proofErr w:type="spellEnd"/>
    </w:p>
    <w:p w:rsidR="009C5647" w:rsidRDefault="009C5647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9C5647" w:rsidRDefault="00F579F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Igor Ribeiro Simões</w:t>
      </w:r>
      <w:r>
        <w:rPr>
          <w:color w:val="000000"/>
          <w:sz w:val="22"/>
          <w:szCs w:val="22"/>
          <w:vertAlign w:val="superscript"/>
        </w:rPr>
        <w:t>1</w:t>
      </w:r>
      <w:r>
        <w:rPr>
          <w:color w:val="000000"/>
          <w:sz w:val="22"/>
          <w:szCs w:val="22"/>
        </w:rPr>
        <w:t xml:space="preserve">; Mariana </w:t>
      </w:r>
      <w:proofErr w:type="spellStart"/>
      <w:r>
        <w:rPr>
          <w:color w:val="000000"/>
          <w:sz w:val="22"/>
          <w:szCs w:val="22"/>
        </w:rPr>
        <w:t>Govoni</w:t>
      </w:r>
      <w:proofErr w:type="spellEnd"/>
      <w:r>
        <w:rPr>
          <w:color w:val="000000"/>
          <w:sz w:val="22"/>
          <w:szCs w:val="22"/>
        </w:rPr>
        <w:t xml:space="preserve"> Brondi</w:t>
      </w:r>
      <w:r>
        <w:rPr>
          <w:color w:val="000000"/>
          <w:sz w:val="22"/>
          <w:szCs w:val="22"/>
          <w:vertAlign w:val="superscript"/>
        </w:rPr>
        <w:t>2</w:t>
      </w:r>
      <w:r>
        <w:rPr>
          <w:color w:val="000000"/>
          <w:sz w:val="22"/>
          <w:szCs w:val="22"/>
        </w:rPr>
        <w:t xml:space="preserve">; Vanessa Molina Vasconcellos; Cristiane Sanchez </w:t>
      </w:r>
      <w:proofErr w:type="gramStart"/>
      <w:r>
        <w:rPr>
          <w:color w:val="000000"/>
          <w:sz w:val="22"/>
          <w:szCs w:val="22"/>
        </w:rPr>
        <w:t>Farinas</w:t>
      </w:r>
      <w:r>
        <w:rPr>
          <w:color w:val="000000"/>
          <w:sz w:val="22"/>
          <w:szCs w:val="22"/>
          <w:vertAlign w:val="superscript"/>
        </w:rPr>
        <w:t>3</w:t>
      </w:r>
      <w:proofErr w:type="gramEnd"/>
      <w:r>
        <w:rPr>
          <w:color w:val="000000"/>
          <w:sz w:val="22"/>
          <w:szCs w:val="22"/>
        </w:rPr>
        <w:t xml:space="preserve"> </w:t>
      </w:r>
    </w:p>
    <w:p w:rsidR="009C5647" w:rsidRDefault="009C5647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4"/>
          <w:szCs w:val="24"/>
        </w:rPr>
      </w:pPr>
    </w:p>
    <w:p w:rsidR="009C5647" w:rsidRDefault="00F579F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gramStart"/>
      <w:r>
        <w:rPr>
          <w:color w:val="000000"/>
          <w:vertAlign w:val="superscript"/>
        </w:rPr>
        <w:t>1</w:t>
      </w:r>
      <w:r>
        <w:rPr>
          <w:color w:val="000000"/>
        </w:rPr>
        <w:t>Aluno</w:t>
      </w:r>
      <w:proofErr w:type="gramEnd"/>
      <w:r>
        <w:rPr>
          <w:color w:val="000000"/>
        </w:rPr>
        <w:t xml:space="preserve"> de graduação em Biotecnologia, Universidade Federal de São Carlos, São Carlos, SP. Bolsista PIBIC/CNPq, Embrapa Instrumentação, São Carlos, SP; </w:t>
      </w:r>
      <w:proofErr w:type="gramStart"/>
      <w:r>
        <w:rPr>
          <w:color w:val="000000"/>
        </w:rPr>
        <w:t>igorrs@estudante.ufscar.br</w:t>
      </w:r>
      <w:proofErr w:type="gramEnd"/>
    </w:p>
    <w:p w:rsidR="009C5647" w:rsidRDefault="00F579F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gramStart"/>
      <w:r>
        <w:rPr>
          <w:color w:val="000000"/>
          <w:vertAlign w:val="superscript"/>
        </w:rPr>
        <w:t>2</w:t>
      </w:r>
      <w:r>
        <w:rPr>
          <w:color w:val="000000"/>
        </w:rPr>
        <w:t>Aluna</w:t>
      </w:r>
      <w:proofErr w:type="gramEnd"/>
      <w:r>
        <w:rPr>
          <w:color w:val="000000"/>
        </w:rPr>
        <w:t xml:space="preserve"> de doutorado em Engenharia Química, Universidade Federal de São Carlos, </w:t>
      </w:r>
      <w:r>
        <w:rPr>
          <w:color w:val="000000"/>
        </w:rPr>
        <w:t>São Carlos, SP.</w:t>
      </w:r>
    </w:p>
    <w:p w:rsidR="009C5647" w:rsidRDefault="00F579F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gramStart"/>
      <w:r>
        <w:rPr>
          <w:color w:val="000000"/>
          <w:vertAlign w:val="superscript"/>
        </w:rPr>
        <w:t>3</w:t>
      </w:r>
      <w:r>
        <w:rPr>
          <w:color w:val="000000"/>
        </w:rPr>
        <w:t>Pesquisadora</w:t>
      </w:r>
      <w:proofErr w:type="gramEnd"/>
      <w:r>
        <w:rPr>
          <w:color w:val="000000"/>
        </w:rPr>
        <w:t xml:space="preserve"> da Embrapa Instrumentação, São Carlos, SP.</w:t>
      </w:r>
    </w:p>
    <w:p w:rsidR="009C5647" w:rsidRDefault="009C564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9C5647" w:rsidRDefault="00F579F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highlight w:val="yellow"/>
        </w:rPr>
      </w:pPr>
      <w:bookmarkStart w:id="0" w:name="_gjdgxs" w:colFirst="0" w:colLast="0"/>
      <w:bookmarkEnd w:id="0"/>
      <w:proofErr w:type="spellStart"/>
      <w:r>
        <w:rPr>
          <w:color w:val="000000"/>
          <w:sz w:val="24"/>
          <w:szCs w:val="24"/>
        </w:rPr>
        <w:t>Inoculantes</w:t>
      </w:r>
      <w:proofErr w:type="spellEnd"/>
      <w:r>
        <w:rPr>
          <w:color w:val="000000"/>
          <w:sz w:val="24"/>
          <w:szCs w:val="24"/>
        </w:rPr>
        <w:t xml:space="preserve"> microbianos constituem uma alternativa interessante para aumentar a produtividade agrícola de forma sustentável e reduzir o uso exacerbado de fertilizantes e pesticidas q</w:t>
      </w:r>
      <w:r>
        <w:rPr>
          <w:color w:val="000000"/>
          <w:sz w:val="24"/>
          <w:szCs w:val="24"/>
        </w:rPr>
        <w:t>uímicos, que muitas vezes acabam por impactar negativamente o meio ambiente. No entanto, o uso desses bioprodutos ainda é limitado principalmente a questões relacionadas às formulações dos meios transportadores das células. Uma boa formulação deve garantir</w:t>
      </w:r>
      <w:r>
        <w:rPr>
          <w:color w:val="000000"/>
          <w:sz w:val="24"/>
          <w:szCs w:val="24"/>
        </w:rPr>
        <w:t xml:space="preserve"> a viabilidade dos microrganismos durante longos períodos e quando este for submetido a condições de estresse, além de proteção contra a competição com outros microrganismos mais bem adaptados presentes no solo. Assim, matrizes a base de celulose e seus de</w:t>
      </w:r>
      <w:r>
        <w:rPr>
          <w:color w:val="000000"/>
          <w:sz w:val="24"/>
          <w:szCs w:val="24"/>
        </w:rPr>
        <w:t xml:space="preserve">rivados, tais como a </w:t>
      </w:r>
      <w:proofErr w:type="spellStart"/>
      <w:r>
        <w:rPr>
          <w:color w:val="000000"/>
          <w:sz w:val="24"/>
          <w:szCs w:val="24"/>
        </w:rPr>
        <w:t>carboximetilcelulose</w:t>
      </w:r>
      <w:proofErr w:type="spellEnd"/>
      <w:r>
        <w:rPr>
          <w:color w:val="000000"/>
          <w:sz w:val="24"/>
          <w:szCs w:val="24"/>
        </w:rPr>
        <w:t xml:space="preserve"> (CMC) e os </w:t>
      </w:r>
      <w:proofErr w:type="spellStart"/>
      <w:r>
        <w:rPr>
          <w:color w:val="000000"/>
          <w:sz w:val="24"/>
          <w:szCs w:val="24"/>
        </w:rPr>
        <w:t>nanocristais</w:t>
      </w:r>
      <w:proofErr w:type="spellEnd"/>
      <w:r>
        <w:rPr>
          <w:color w:val="000000"/>
          <w:sz w:val="24"/>
          <w:szCs w:val="24"/>
        </w:rPr>
        <w:t xml:space="preserve"> de celulose (NC), embora ainda pouco exploradas para essa aplicação, podem ser uma estratégia interessante de ser empregada. Esses materiais são renováveis, abundantes, biodegradáveis, apres</w:t>
      </w:r>
      <w:r>
        <w:rPr>
          <w:color w:val="000000"/>
          <w:sz w:val="24"/>
          <w:szCs w:val="24"/>
        </w:rPr>
        <w:t xml:space="preserve">entam boas propriedades mecânicas (característica importante para estocagem e transporte do produto) além de poderem ser utilizados como nutriente pelos microrganismos. Assim, este projeto de pesquisa propôs encapsular esporos do fungo </w:t>
      </w:r>
      <w:proofErr w:type="spellStart"/>
      <w:r>
        <w:rPr>
          <w:i/>
          <w:color w:val="000000"/>
          <w:sz w:val="24"/>
          <w:szCs w:val="24"/>
        </w:rPr>
        <w:t>Trichoderma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harzianu</w:t>
      </w:r>
      <w:r>
        <w:rPr>
          <w:i/>
          <w:color w:val="000000"/>
          <w:sz w:val="24"/>
          <w:szCs w:val="24"/>
        </w:rPr>
        <w:t>m</w:t>
      </w:r>
      <w:proofErr w:type="spellEnd"/>
      <w:r>
        <w:rPr>
          <w:color w:val="000000"/>
          <w:sz w:val="24"/>
          <w:szCs w:val="24"/>
        </w:rPr>
        <w:t xml:space="preserve"> em matrizes de </w:t>
      </w:r>
      <w:proofErr w:type="spellStart"/>
      <w:r>
        <w:rPr>
          <w:color w:val="000000"/>
          <w:sz w:val="24"/>
          <w:szCs w:val="24"/>
        </w:rPr>
        <w:t>carboximetilcelulose</w:t>
      </w:r>
      <w:proofErr w:type="spellEnd"/>
      <w:r>
        <w:rPr>
          <w:color w:val="000000"/>
          <w:sz w:val="24"/>
          <w:szCs w:val="24"/>
        </w:rPr>
        <w:t xml:space="preserve"> sódica (CMC) com diferentes viscosidades (média e baixa) reforçadas com </w:t>
      </w:r>
      <w:proofErr w:type="spellStart"/>
      <w:r>
        <w:rPr>
          <w:color w:val="000000"/>
          <w:sz w:val="24"/>
          <w:szCs w:val="24"/>
        </w:rPr>
        <w:t>nanocristais</w:t>
      </w:r>
      <w:proofErr w:type="spellEnd"/>
      <w:r>
        <w:rPr>
          <w:color w:val="000000"/>
          <w:sz w:val="24"/>
          <w:szCs w:val="24"/>
        </w:rPr>
        <w:t xml:space="preserve"> de celulose (NC), por meio de um processo simples de gotejamento e coagulação das dispersões poliméricas em solução salina de </w:t>
      </w:r>
      <w:proofErr w:type="gramStart"/>
      <w:r>
        <w:rPr>
          <w:color w:val="000000"/>
          <w:sz w:val="24"/>
          <w:szCs w:val="24"/>
        </w:rPr>
        <w:t>FeCl</w:t>
      </w:r>
      <w:r>
        <w:rPr>
          <w:color w:val="000000"/>
          <w:sz w:val="24"/>
          <w:szCs w:val="24"/>
          <w:vertAlign w:val="subscript"/>
        </w:rPr>
        <w:t>3</w:t>
      </w:r>
      <w:proofErr w:type="gramEnd"/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Diferentes razões de </w:t>
      </w:r>
      <w:proofErr w:type="gramStart"/>
      <w:r>
        <w:rPr>
          <w:color w:val="000000"/>
          <w:sz w:val="24"/>
          <w:szCs w:val="24"/>
        </w:rPr>
        <w:t>CMC:</w:t>
      </w:r>
      <w:proofErr w:type="gramEnd"/>
      <w:r>
        <w:rPr>
          <w:color w:val="000000"/>
          <w:sz w:val="24"/>
          <w:szCs w:val="24"/>
        </w:rPr>
        <w:t>NC e concentrações de FeCl</w:t>
      </w:r>
      <w:r>
        <w:rPr>
          <w:color w:val="000000"/>
          <w:sz w:val="24"/>
          <w:szCs w:val="24"/>
          <w:vertAlign w:val="subscript"/>
        </w:rPr>
        <w:t>3</w:t>
      </w:r>
      <w:r>
        <w:rPr>
          <w:color w:val="000000"/>
          <w:sz w:val="24"/>
          <w:szCs w:val="24"/>
        </w:rPr>
        <w:t xml:space="preserve"> foram avaliadas para a produção das cápsulas. Assim, verificou-se que a viscosidade da CMC influencia o processo de </w:t>
      </w:r>
      <w:proofErr w:type="spellStart"/>
      <w:r>
        <w:rPr>
          <w:color w:val="000000"/>
          <w:sz w:val="24"/>
          <w:szCs w:val="24"/>
        </w:rPr>
        <w:t>reticulação</w:t>
      </w:r>
      <w:proofErr w:type="spellEnd"/>
      <w:r>
        <w:rPr>
          <w:color w:val="000000"/>
          <w:sz w:val="24"/>
          <w:szCs w:val="24"/>
        </w:rPr>
        <w:t xml:space="preserve"> iônica do material, uma vez que a CMC de média viscosidade resultou na obte</w:t>
      </w:r>
      <w:r>
        <w:rPr>
          <w:color w:val="000000"/>
          <w:sz w:val="24"/>
          <w:szCs w:val="24"/>
        </w:rPr>
        <w:t xml:space="preserve">nção de </w:t>
      </w:r>
      <w:proofErr w:type="spellStart"/>
      <w:r>
        <w:rPr>
          <w:color w:val="000000"/>
          <w:sz w:val="24"/>
          <w:szCs w:val="24"/>
        </w:rPr>
        <w:t>esferasmais</w:t>
      </w:r>
      <w:proofErr w:type="spellEnd"/>
      <w:r>
        <w:rPr>
          <w:color w:val="000000"/>
          <w:sz w:val="24"/>
          <w:szCs w:val="24"/>
        </w:rPr>
        <w:t xml:space="preserve"> estáveis. Além disso, a adição de NC nas proporções de 0,1, 0,25 e 0,5% (m/v) não impactou visualmente a obtenção das </w:t>
      </w:r>
      <w:r>
        <w:rPr>
          <w:sz w:val="24"/>
          <w:szCs w:val="24"/>
        </w:rPr>
        <w:t>cápsulas, indicando que pode ser utilizada em menor quantidade</w:t>
      </w:r>
      <w:r>
        <w:rPr>
          <w:color w:val="000000"/>
          <w:sz w:val="24"/>
          <w:szCs w:val="24"/>
        </w:rPr>
        <w:t xml:space="preserve">. Testes preliminares mostraram que os esporos do fungo </w:t>
      </w:r>
      <w:r>
        <w:rPr>
          <w:i/>
          <w:color w:val="000000"/>
          <w:sz w:val="24"/>
          <w:szCs w:val="24"/>
        </w:rPr>
        <w:t xml:space="preserve">T. </w:t>
      </w:r>
      <w:proofErr w:type="spellStart"/>
      <w:r>
        <w:rPr>
          <w:i/>
          <w:color w:val="000000"/>
          <w:sz w:val="24"/>
          <w:szCs w:val="24"/>
        </w:rPr>
        <w:t>harzianum</w:t>
      </w:r>
      <w:proofErr w:type="spellEnd"/>
      <w:r>
        <w:rPr>
          <w:color w:val="000000"/>
          <w:sz w:val="24"/>
          <w:szCs w:val="24"/>
        </w:rPr>
        <w:t xml:space="preserve"> (10</w:t>
      </w:r>
      <w:r>
        <w:rPr>
          <w:color w:val="000000"/>
          <w:sz w:val="24"/>
          <w:szCs w:val="24"/>
          <w:vertAlign w:val="superscript"/>
        </w:rPr>
        <w:t>8</w:t>
      </w:r>
      <w:r>
        <w:rPr>
          <w:color w:val="000000"/>
          <w:sz w:val="24"/>
          <w:szCs w:val="24"/>
        </w:rPr>
        <w:t xml:space="preserve"> esporos/g polímero seco) foram encapsulados de modo promissor. Micrografias obtidas por MEV destacaram a presença dos esporos nas matrizes avaliadas. Desse modo, os dados obtidos até o presente momento mostram que a estratégia aqui avalia</w:t>
      </w:r>
      <w:r>
        <w:rPr>
          <w:color w:val="000000"/>
          <w:sz w:val="24"/>
          <w:szCs w:val="24"/>
        </w:rPr>
        <w:t xml:space="preserve">da se mostrou eficiente na obtenção de estruturas a base de matrizes renováveis e biodegradáveis e que podem apresentar resultados benéficos no </w:t>
      </w:r>
      <w:proofErr w:type="spellStart"/>
      <w:r>
        <w:rPr>
          <w:color w:val="000000"/>
          <w:sz w:val="24"/>
          <w:szCs w:val="24"/>
        </w:rPr>
        <w:t>encapsulamento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inoculantes</w:t>
      </w:r>
      <w:proofErr w:type="spellEnd"/>
      <w:r>
        <w:rPr>
          <w:color w:val="000000"/>
          <w:sz w:val="24"/>
          <w:szCs w:val="24"/>
        </w:rPr>
        <w:t xml:space="preserve"> microbianos.   </w:t>
      </w:r>
    </w:p>
    <w:p w:rsidR="009C5647" w:rsidRDefault="009C564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highlight w:val="yellow"/>
        </w:rPr>
      </w:pPr>
    </w:p>
    <w:p w:rsidR="009C5647" w:rsidRDefault="009C564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9C5647" w:rsidRDefault="009C564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9C5647" w:rsidRDefault="00F579F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Apoio financeiro:</w:t>
      </w:r>
      <w:r>
        <w:rPr>
          <w:color w:val="000000"/>
        </w:rPr>
        <w:t xml:space="preserve"> Embrapa, FAPESP e </w:t>
      </w:r>
      <w:proofErr w:type="gramStart"/>
      <w:r>
        <w:rPr>
          <w:color w:val="000000"/>
        </w:rPr>
        <w:t>CNPq</w:t>
      </w:r>
      <w:proofErr w:type="gramEnd"/>
      <w:r>
        <w:rPr>
          <w:color w:val="000000"/>
        </w:rPr>
        <w:t xml:space="preserve"> </w:t>
      </w:r>
    </w:p>
    <w:p w:rsidR="009C5647" w:rsidRDefault="00F579F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Área: </w:t>
      </w:r>
      <w:r>
        <w:rPr>
          <w:color w:val="000000"/>
        </w:rPr>
        <w:t>Engenharias</w:t>
      </w:r>
    </w:p>
    <w:p w:rsidR="009C5647" w:rsidRDefault="00F579F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Palavras-chave</w:t>
      </w:r>
      <w:r>
        <w:rPr>
          <w:color w:val="000000"/>
        </w:rPr>
        <w:t xml:space="preserve">: </w:t>
      </w:r>
      <w:proofErr w:type="spellStart"/>
      <w:r>
        <w:rPr>
          <w:color w:val="000000"/>
        </w:rPr>
        <w:t>Inoculantes</w:t>
      </w:r>
      <w:proofErr w:type="spellEnd"/>
      <w:r>
        <w:rPr>
          <w:color w:val="000000"/>
        </w:rPr>
        <w:t xml:space="preserve"> microbianos, biofertilizantes, </w:t>
      </w:r>
      <w:proofErr w:type="spellStart"/>
      <w:r>
        <w:rPr>
          <w:color w:val="000000"/>
        </w:rPr>
        <w:t>carboximetilcelulose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nanocelulose</w:t>
      </w:r>
      <w:proofErr w:type="spellEnd"/>
      <w:r>
        <w:rPr>
          <w:color w:val="000000"/>
        </w:rPr>
        <w:t xml:space="preserve">, </w:t>
      </w:r>
      <w:proofErr w:type="spellStart"/>
      <w:proofErr w:type="gramStart"/>
      <w:r>
        <w:rPr>
          <w:color w:val="000000"/>
        </w:rPr>
        <w:t>encapsulamento</w:t>
      </w:r>
      <w:proofErr w:type="spellEnd"/>
      <w:proofErr w:type="gramEnd"/>
    </w:p>
    <w:p w:rsidR="009C5647" w:rsidRDefault="00F579F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Número Cadastro </w:t>
      </w:r>
      <w:proofErr w:type="spellStart"/>
      <w:proofErr w:type="gramStart"/>
      <w:r>
        <w:rPr>
          <w:b/>
          <w:color w:val="000000"/>
        </w:rPr>
        <w:t>SisGen</w:t>
      </w:r>
      <w:proofErr w:type="spellEnd"/>
      <w:proofErr w:type="gramEnd"/>
      <w:r>
        <w:rPr>
          <w:color w:val="000000"/>
        </w:rPr>
        <w:t xml:space="preserve">: A5DB0F8 </w:t>
      </w:r>
    </w:p>
    <w:p w:rsidR="009C5647" w:rsidRDefault="00F579F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</w:rPr>
        <w:t xml:space="preserve">N. do Processo PIBIC/PIBIT: </w:t>
      </w:r>
      <w:r>
        <w:rPr>
          <w:color w:val="000000"/>
        </w:rPr>
        <w:t>123166/2022-5</w:t>
      </w:r>
    </w:p>
    <w:p w:rsidR="009C5647" w:rsidRDefault="009C564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C5647" w:rsidRDefault="009C564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C5647" w:rsidRDefault="009C564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sectPr w:rsidR="009C5647" w:rsidSect="00653D8C">
      <w:headerReference w:type="even" r:id="rId6"/>
      <w:headerReference w:type="default" r:id="rId7"/>
      <w:pgSz w:w="11907" w:h="16840"/>
      <w:pgMar w:top="1418" w:right="1418" w:bottom="1418" w:left="1418" w:header="720" w:footer="720" w:gutter="0"/>
      <w:lnNumType w:countBy="1" w:restart="continuous"/>
      <w:pgNumType w:start="92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9FB" w:rsidRDefault="00F579FB" w:rsidP="009C5647">
      <w:r>
        <w:separator/>
      </w:r>
    </w:p>
  </w:endnote>
  <w:endnote w:type="continuationSeparator" w:id="0">
    <w:p w:rsidR="00F579FB" w:rsidRDefault="00F579FB" w:rsidP="009C56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9FB" w:rsidRDefault="00F579FB" w:rsidP="009C5647">
      <w:r>
        <w:separator/>
      </w:r>
    </w:p>
  </w:footnote>
  <w:footnote w:type="continuationSeparator" w:id="0">
    <w:p w:rsidR="00F579FB" w:rsidRDefault="00F579FB" w:rsidP="009C56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647" w:rsidRDefault="009C564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F579FB">
      <w:rPr>
        <w:color w:val="000000"/>
      </w:rPr>
      <w:instrText>PAGE</w:instrText>
    </w:r>
    <w:r>
      <w:rPr>
        <w:color w:val="000000"/>
      </w:rPr>
      <w:fldChar w:fldCharType="end"/>
    </w:r>
  </w:p>
  <w:p w:rsidR="009C5647" w:rsidRDefault="009C564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647" w:rsidRDefault="00F579FB">
    <w:pPr>
      <w:pStyle w:val="normal0"/>
      <w:pBdr>
        <w:top w:val="nil"/>
        <w:left w:val="nil"/>
        <w:bottom w:val="single" w:sz="12" w:space="1" w:color="808080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Re</w:t>
    </w:r>
    <w:r>
      <w:rPr>
        <w:rFonts w:ascii="Calibri" w:eastAsia="Calibri" w:hAnsi="Calibri" w:cs="Calibri"/>
        <w:color w:val="000000"/>
      </w:rPr>
      <w:t>sumo da 15</w:t>
    </w:r>
    <w:r>
      <w:rPr>
        <w:rFonts w:ascii="Calibri" w:eastAsia="Calibri" w:hAnsi="Calibri" w:cs="Calibri"/>
        <w:color w:val="000000"/>
        <w:vertAlign w:val="superscript"/>
      </w:rPr>
      <w:t>a</w:t>
    </w:r>
    <w:r>
      <w:rPr>
        <w:rFonts w:ascii="Calibri" w:eastAsia="Calibri" w:hAnsi="Calibri" w:cs="Calibri"/>
        <w:color w:val="000000"/>
      </w:rPr>
      <w:t xml:space="preserve"> Jornada Científica – Embrapa São Carlos – 22 de agosto de 2023</w:t>
    </w:r>
  </w:p>
  <w:p w:rsidR="009C5647" w:rsidRDefault="00F579FB">
    <w:pPr>
      <w:pStyle w:val="normal0"/>
      <w:pBdr>
        <w:top w:val="nil"/>
        <w:left w:val="nil"/>
        <w:bottom w:val="single" w:sz="12" w:space="1" w:color="808080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Embrapa Pecuária Sudeste</w:t>
    </w:r>
    <w:proofErr w:type="gramStart"/>
    <w:r>
      <w:rPr>
        <w:rFonts w:ascii="Calibri" w:eastAsia="Calibri" w:hAnsi="Calibri" w:cs="Calibri"/>
        <w:color w:val="000000"/>
      </w:rPr>
      <w:t xml:space="preserve">  </w:t>
    </w:r>
    <w:proofErr w:type="gramEnd"/>
    <w:r>
      <w:rPr>
        <w:rFonts w:ascii="Calibri" w:eastAsia="Calibri" w:hAnsi="Calibri" w:cs="Calibri"/>
        <w:color w:val="000000"/>
      </w:rPr>
      <w:t>e Embrapa Instrumentação – São Carlos - SP – Brasil</w:t>
    </w:r>
  </w:p>
  <w:p w:rsidR="009C5647" w:rsidRDefault="009C564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5647"/>
    <w:rsid w:val="00653D8C"/>
    <w:rsid w:val="009C5647"/>
    <w:rsid w:val="00F57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9C5647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0"/>
    <w:next w:val="normal0"/>
    <w:rsid w:val="009C564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0"/>
    <w:next w:val="normal0"/>
    <w:rsid w:val="009C5647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rsid w:val="009C5647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0"/>
    <w:next w:val="normal0"/>
    <w:rsid w:val="009C5647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0"/>
    <w:next w:val="normal0"/>
    <w:rsid w:val="009C5647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9C5647"/>
  </w:style>
  <w:style w:type="table" w:customStyle="1" w:styleId="TableNormal">
    <w:name w:val="Table Normal"/>
    <w:rsid w:val="009C56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9C5647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0"/>
    <w:next w:val="normal0"/>
    <w:rsid w:val="009C564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merodelinha">
    <w:name w:val="line number"/>
    <w:basedOn w:val="Fontepargpadro"/>
    <w:uiPriority w:val="99"/>
    <w:semiHidden/>
    <w:unhideWhenUsed/>
    <w:rsid w:val="00653D8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2709</Characters>
  <Application>Microsoft Office Word</Application>
  <DocSecurity>0</DocSecurity>
  <Lines>22</Lines>
  <Paragraphs>6</Paragraphs>
  <ScaleCrop>false</ScaleCrop>
  <Company>Hewlett-Packard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</cp:revision>
  <dcterms:created xsi:type="dcterms:W3CDTF">2023-07-12T19:15:00Z</dcterms:created>
  <dcterms:modified xsi:type="dcterms:W3CDTF">2023-07-12T19:15:00Z</dcterms:modified>
</cp:coreProperties>
</file>