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BD5" w:rsidRDefault="009566C9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Caracterização do período reprodutivo de acessos de </w:t>
      </w:r>
      <w:proofErr w:type="spellStart"/>
      <w:r w:rsidRPr="009566C9">
        <w:rPr>
          <w:rFonts w:ascii="Times New Roman" w:hAnsi="Times New Roman" w:cs="Times New Roman"/>
          <w:b/>
          <w:i/>
          <w:snapToGrid w:val="0"/>
          <w:sz w:val="28"/>
        </w:rPr>
        <w:t>Paspalum</w:t>
      </w:r>
      <w:proofErr w:type="spellEnd"/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 L. (</w:t>
      </w:r>
      <w:proofErr w:type="spellStart"/>
      <w:r w:rsidRPr="009566C9">
        <w:rPr>
          <w:rFonts w:ascii="Times New Roman" w:hAnsi="Times New Roman" w:cs="Times New Roman"/>
          <w:b/>
          <w:snapToGrid w:val="0"/>
          <w:sz w:val="28"/>
        </w:rPr>
        <w:t>Poaceae</w:t>
      </w:r>
      <w:proofErr w:type="spellEnd"/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) do grupo </w:t>
      </w:r>
      <w:proofErr w:type="spellStart"/>
      <w:r w:rsidRPr="009566C9">
        <w:rPr>
          <w:rFonts w:ascii="Times New Roman" w:hAnsi="Times New Roman" w:cs="Times New Roman"/>
          <w:b/>
          <w:snapToGrid w:val="0"/>
          <w:sz w:val="28"/>
        </w:rPr>
        <w:t>Plicatula</w:t>
      </w:r>
      <w:proofErr w:type="spellEnd"/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 </w:t>
      </w:r>
    </w:p>
    <w:p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:rsidR="00F61E4E" w:rsidRPr="002E0A8D" w:rsidRDefault="009566C9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Willian Lucas Bonani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084D06">
        <w:rPr>
          <w:rFonts w:ascii="Times New Roman" w:hAnsi="Times New Roman" w:cs="Times New Roman"/>
          <w:snapToGrid w:val="0"/>
          <w:sz w:val="22"/>
          <w:szCs w:val="22"/>
        </w:rPr>
        <w:t>Alcione Bernardi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1C6B3D">
        <w:rPr>
          <w:rFonts w:ascii="Times New Roman" w:hAnsi="Times New Roman" w:cs="Times New Roman"/>
          <w:snapToGrid w:val="0"/>
          <w:sz w:val="22"/>
          <w:szCs w:val="22"/>
        </w:rPr>
        <w:t xml:space="preserve">Alessandra Pereira Fávero³; </w:t>
      </w:r>
      <w:bookmarkStart w:id="0" w:name="_GoBack"/>
      <w:bookmarkEnd w:id="0"/>
      <w:r w:rsidR="00084D06">
        <w:rPr>
          <w:rFonts w:ascii="Times New Roman" w:hAnsi="Times New Roman" w:cs="Times New Roman"/>
          <w:snapToGrid w:val="0"/>
          <w:sz w:val="22"/>
          <w:szCs w:val="22"/>
        </w:rPr>
        <w:t>Frederico de Pina Matta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084D06">
        <w:rPr>
          <w:rFonts w:ascii="Times New Roman" w:hAnsi="Times New Roman" w:cs="Times New Roman"/>
          <w:snapToGrid w:val="0"/>
          <w:sz w:val="22"/>
          <w:szCs w:val="22"/>
        </w:rPr>
        <w:t>Marcelo Mattos Cavallari</w:t>
      </w:r>
      <w:r w:rsidR="00084D06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</w:p>
    <w:p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Eng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 xml:space="preserve">enheiro </w:t>
      </w:r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Agrônomo, bolsista Embrapa/CNPq, Embrapa P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ecuária Sudeste, São Carlos, 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; 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willian.lucas.bonani@gmail.com</w:t>
      </w:r>
    </w:p>
    <w:p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Eng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 xml:space="preserve">enheiro </w:t>
      </w:r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Agrônomo, bolsista Embrapa/CNPq, Embrapa P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ecuária Sudeste, São Carlos, 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084D06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da Embrapa 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:rsidR="00F61E4E" w:rsidRPr="00F61E4E" w:rsidRDefault="009566C9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9566C9">
        <w:rPr>
          <w:rFonts w:ascii="Times New Roman" w:hAnsi="Times New Roman"/>
          <w:snapToGrid w:val="0"/>
        </w:rPr>
        <w:t xml:space="preserve">O gênero </w:t>
      </w:r>
      <w:proofErr w:type="spellStart"/>
      <w:r w:rsidRPr="009566C9">
        <w:rPr>
          <w:rFonts w:ascii="Times New Roman" w:hAnsi="Times New Roman"/>
          <w:snapToGrid w:val="0"/>
        </w:rPr>
        <w:t>Paspalum</w:t>
      </w:r>
      <w:proofErr w:type="spellEnd"/>
      <w:r w:rsidRPr="009566C9">
        <w:rPr>
          <w:rFonts w:ascii="Times New Roman" w:hAnsi="Times New Roman"/>
          <w:snapToGrid w:val="0"/>
        </w:rPr>
        <w:t xml:space="preserve"> L. (</w:t>
      </w:r>
      <w:proofErr w:type="spellStart"/>
      <w:r w:rsidRPr="009566C9">
        <w:rPr>
          <w:rFonts w:ascii="Times New Roman" w:hAnsi="Times New Roman"/>
          <w:snapToGrid w:val="0"/>
        </w:rPr>
        <w:t>Poaceae</w:t>
      </w:r>
      <w:proofErr w:type="spellEnd"/>
      <w:r w:rsidRPr="009566C9">
        <w:rPr>
          <w:rFonts w:ascii="Times New Roman" w:hAnsi="Times New Roman"/>
          <w:snapToGrid w:val="0"/>
        </w:rPr>
        <w:t xml:space="preserve">) possui destaque na pecuária brasileira por apresentar quantidade e diversidade de espécies, qualidade forrageira e ampla adaptação ecológica, podendo ser estratégica a sua utilização. A Embrapa Pecuária Sudeste abriga um Banco Ativo de </w:t>
      </w:r>
      <w:proofErr w:type="spellStart"/>
      <w:r w:rsidRPr="009566C9">
        <w:rPr>
          <w:rFonts w:ascii="Times New Roman" w:hAnsi="Times New Roman"/>
          <w:snapToGrid w:val="0"/>
        </w:rPr>
        <w:t>Germoplasma</w:t>
      </w:r>
      <w:proofErr w:type="spellEnd"/>
      <w:r w:rsidRPr="009566C9">
        <w:rPr>
          <w:rFonts w:ascii="Times New Roman" w:hAnsi="Times New Roman"/>
          <w:snapToGrid w:val="0"/>
        </w:rPr>
        <w:t xml:space="preserve"> (BAG) com 60 espécies e 550 acessos do gênero, dos quais, 255 são do grupo </w:t>
      </w:r>
      <w:proofErr w:type="spellStart"/>
      <w:r w:rsidRPr="009566C9">
        <w:rPr>
          <w:rFonts w:ascii="Times New Roman" w:hAnsi="Times New Roman"/>
          <w:snapToGrid w:val="0"/>
        </w:rPr>
        <w:t>Plicatula</w:t>
      </w:r>
      <w:proofErr w:type="spellEnd"/>
      <w:r w:rsidRPr="009566C9">
        <w:rPr>
          <w:rFonts w:ascii="Times New Roman" w:hAnsi="Times New Roman"/>
          <w:snapToGrid w:val="0"/>
        </w:rPr>
        <w:t xml:space="preserve">. A caracterização dos acessos, em alinhamento com o programa de melhoramento genético, é uma das atribuições dos </w:t>
      </w:r>
      <w:proofErr w:type="spellStart"/>
      <w:r w:rsidRPr="009566C9">
        <w:rPr>
          <w:rFonts w:ascii="Times New Roman" w:hAnsi="Times New Roman"/>
          <w:snapToGrid w:val="0"/>
        </w:rPr>
        <w:t>BAGs</w:t>
      </w:r>
      <w:proofErr w:type="spellEnd"/>
      <w:r w:rsidRPr="009566C9">
        <w:rPr>
          <w:rFonts w:ascii="Times New Roman" w:hAnsi="Times New Roman"/>
          <w:snapToGrid w:val="0"/>
        </w:rPr>
        <w:t xml:space="preserve">. Neste contexto, o objetivo deste trabalho foi realizar a caracterização do período reprodutivo, determinando início, pico e término do florescimento, bem como a taxa de emissão de inflorescências, de acessos do grupo </w:t>
      </w:r>
      <w:proofErr w:type="spellStart"/>
      <w:r w:rsidRPr="009566C9">
        <w:rPr>
          <w:rFonts w:ascii="Times New Roman" w:hAnsi="Times New Roman"/>
          <w:snapToGrid w:val="0"/>
        </w:rPr>
        <w:t>Plicatula</w:t>
      </w:r>
      <w:proofErr w:type="spellEnd"/>
      <w:r w:rsidRPr="009566C9">
        <w:rPr>
          <w:rFonts w:ascii="Times New Roman" w:hAnsi="Times New Roman"/>
          <w:snapToGrid w:val="0"/>
        </w:rPr>
        <w:t xml:space="preserve"> que se destacaram em avaliações visuais prévias, realizadas no contexto do melhoramento genético. Dessa forma, foram avaliados 26 acessos de seis espécies do grupo </w:t>
      </w:r>
      <w:proofErr w:type="spellStart"/>
      <w:r w:rsidRPr="009566C9">
        <w:rPr>
          <w:rFonts w:ascii="Times New Roman" w:hAnsi="Times New Roman"/>
          <w:snapToGrid w:val="0"/>
        </w:rPr>
        <w:t>Plicatula</w:t>
      </w:r>
      <w:proofErr w:type="spellEnd"/>
      <w:r w:rsidRPr="009566C9">
        <w:rPr>
          <w:rFonts w:ascii="Times New Roman" w:hAnsi="Times New Roman"/>
          <w:snapToGrid w:val="0"/>
        </w:rPr>
        <w:t xml:space="preserve">, em canteiros de 2x3m com dois anos de implantação em área experimental na Embrapa Pecuária Sudeste, em São Carlos, SP. No período entre setembro de 2022 a março de 2023, em cada acesso foram avaliados os seguintes parâmetros: situação de florescimento, através uma escala variando de zero (sem florescimento) até cinco (florescimento já finalizado e espiguetas já em degrana), e contagem de inflorescências por acesso, em um quadrante de 1m2. A análise foi realizada através da quantificação dos valores, tabulação dos dados e posteriores gráficos representativos. Observou-se que o BGP-080 (P. </w:t>
      </w:r>
      <w:proofErr w:type="spellStart"/>
      <w:r w:rsidRPr="009566C9">
        <w:rPr>
          <w:rFonts w:ascii="Times New Roman" w:hAnsi="Times New Roman"/>
          <w:snapToGrid w:val="0"/>
        </w:rPr>
        <w:t>plicatulum</w:t>
      </w:r>
      <w:proofErr w:type="spellEnd"/>
      <w:r w:rsidRPr="009566C9">
        <w:rPr>
          <w:rFonts w:ascii="Times New Roman" w:hAnsi="Times New Roman"/>
          <w:snapToGrid w:val="0"/>
        </w:rPr>
        <w:t xml:space="preserve">), BGP-263 (P. </w:t>
      </w:r>
      <w:proofErr w:type="spellStart"/>
      <w:r w:rsidRPr="009566C9">
        <w:rPr>
          <w:rFonts w:ascii="Times New Roman" w:hAnsi="Times New Roman"/>
          <w:snapToGrid w:val="0"/>
        </w:rPr>
        <w:t>atratum</w:t>
      </w:r>
      <w:proofErr w:type="spellEnd"/>
      <w:r w:rsidRPr="009566C9">
        <w:rPr>
          <w:rFonts w:ascii="Times New Roman" w:hAnsi="Times New Roman"/>
          <w:snapToGrid w:val="0"/>
        </w:rPr>
        <w:t xml:space="preserve">) e BGP-300 (P. </w:t>
      </w:r>
      <w:proofErr w:type="spellStart"/>
      <w:r w:rsidRPr="009566C9">
        <w:rPr>
          <w:rFonts w:ascii="Times New Roman" w:hAnsi="Times New Roman"/>
          <w:snapToGrid w:val="0"/>
        </w:rPr>
        <w:t>rojasii</w:t>
      </w:r>
      <w:proofErr w:type="spellEnd"/>
      <w:r w:rsidRPr="009566C9">
        <w:rPr>
          <w:rFonts w:ascii="Times New Roman" w:hAnsi="Times New Roman"/>
          <w:snapToGrid w:val="0"/>
        </w:rPr>
        <w:t xml:space="preserve">) foram os primeiros a florescer (13 de setembro), já os mais tardios foram acessos de P. </w:t>
      </w:r>
      <w:proofErr w:type="spellStart"/>
      <w:r w:rsidRPr="009566C9">
        <w:rPr>
          <w:rFonts w:ascii="Times New Roman" w:hAnsi="Times New Roman"/>
          <w:snapToGrid w:val="0"/>
        </w:rPr>
        <w:t>guenoarum</w:t>
      </w:r>
      <w:proofErr w:type="spellEnd"/>
      <w:r w:rsidRPr="009566C9">
        <w:rPr>
          <w:rFonts w:ascii="Times New Roman" w:hAnsi="Times New Roman"/>
          <w:snapToGrid w:val="0"/>
        </w:rPr>
        <w:t xml:space="preserve"> (BGP-205, BGP-284 e BGP-374), que iniciaram o florescimento em meados de fevereiro. O acesso BGP-080 apresentou maiores valores de emissão de inflorescências com total de 1374 e média de 65 por data de avaliação. Já o BGP-299 (P. </w:t>
      </w:r>
      <w:proofErr w:type="spellStart"/>
      <w:r w:rsidRPr="009566C9">
        <w:rPr>
          <w:rFonts w:ascii="Times New Roman" w:hAnsi="Times New Roman"/>
          <w:snapToGrid w:val="0"/>
        </w:rPr>
        <w:t>guenoarum</w:t>
      </w:r>
      <w:proofErr w:type="spellEnd"/>
      <w:r w:rsidRPr="009566C9">
        <w:rPr>
          <w:rFonts w:ascii="Times New Roman" w:hAnsi="Times New Roman"/>
          <w:snapToGrid w:val="0"/>
        </w:rPr>
        <w:t>), com 3 inflorescências e média de 0,2 obteve menor valor. Observou-se que o pico de emissão de inflorescências está concentrado entre meados de janeiro e final de fevereiro para a maioria dos acessos (exceção BGP-263 e BGP-297, mais precoces). O trabalho abre perspectivas para a elaboração de um calendário que auxilie no manejo dos acessos do BAG, bem como na realização de cruzamentos no programa de melhoramento genético.</w:t>
      </w:r>
      <w:r w:rsidR="00F61E4E" w:rsidRPr="00F61E4E">
        <w:rPr>
          <w:rFonts w:ascii="Times New Roman" w:hAnsi="Times New Roman"/>
          <w:snapToGrid w:val="0"/>
        </w:rPr>
        <w:t xml:space="preserve"> </w:t>
      </w:r>
    </w:p>
    <w:p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9566C9" w:rsidRPr="009566C9">
        <w:rPr>
          <w:rFonts w:ascii="Times New Roman" w:hAnsi="Times New Roman"/>
          <w:sz w:val="20"/>
        </w:rPr>
        <w:t>Embrapa/CNPq (Projeto SEG 10.20.02.011.00)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9566C9" w:rsidRPr="009566C9">
        <w:rPr>
          <w:rFonts w:ascii="Times New Roman" w:hAnsi="Times New Roman"/>
          <w:sz w:val="20"/>
        </w:rPr>
        <w:t>Ciências Agrárias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9566C9" w:rsidRPr="009566C9">
        <w:rPr>
          <w:rFonts w:ascii="Times New Roman" w:hAnsi="Times New Roman"/>
          <w:sz w:val="20"/>
        </w:rPr>
        <w:t>Cruzamen</w:t>
      </w:r>
      <w:r w:rsidR="009566C9">
        <w:rPr>
          <w:rFonts w:ascii="Times New Roman" w:hAnsi="Times New Roman"/>
          <w:sz w:val="20"/>
        </w:rPr>
        <w:t>tos; Forrageiras; Melhoramento G</w:t>
      </w:r>
      <w:r w:rsidR="009566C9" w:rsidRPr="009566C9">
        <w:rPr>
          <w:rFonts w:ascii="Times New Roman" w:hAnsi="Times New Roman"/>
          <w:sz w:val="20"/>
        </w:rPr>
        <w:t>enético.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 xml:space="preserve"> (se aplicável):</w:t>
      </w:r>
      <w:r w:rsidRPr="00F61E4E">
        <w:rPr>
          <w:rFonts w:ascii="Times New Roman" w:hAnsi="Times New Roman"/>
          <w:sz w:val="20"/>
        </w:rPr>
        <w:t xml:space="preserve"> </w:t>
      </w:r>
      <w:r w:rsidR="009566C9" w:rsidRPr="009566C9">
        <w:rPr>
          <w:rFonts w:ascii="Times New Roman" w:hAnsi="Times New Roman"/>
          <w:sz w:val="20"/>
        </w:rPr>
        <w:t>A328577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184" w:rsidRDefault="00006184" w:rsidP="00E12AB0">
      <w:r>
        <w:separator/>
      </w:r>
    </w:p>
  </w:endnote>
  <w:endnote w:type="continuationSeparator" w:id="0">
    <w:p w:rsidR="00006184" w:rsidRDefault="00006184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184" w:rsidRDefault="00006184" w:rsidP="00E12AB0">
      <w:r>
        <w:separator/>
      </w:r>
    </w:p>
  </w:footnote>
  <w:footnote w:type="continuationSeparator" w:id="0">
    <w:p w:rsidR="00006184" w:rsidRDefault="00006184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63"/>
    <w:rsid w:val="00006184"/>
    <w:rsid w:val="00084D06"/>
    <w:rsid w:val="001C6B3D"/>
    <w:rsid w:val="002B6C6D"/>
    <w:rsid w:val="002C0BD5"/>
    <w:rsid w:val="002E0A8D"/>
    <w:rsid w:val="003477EB"/>
    <w:rsid w:val="00484063"/>
    <w:rsid w:val="005112AA"/>
    <w:rsid w:val="0057319E"/>
    <w:rsid w:val="006A59C2"/>
    <w:rsid w:val="006D42E4"/>
    <w:rsid w:val="00785A21"/>
    <w:rsid w:val="008D1B21"/>
    <w:rsid w:val="009566C9"/>
    <w:rsid w:val="00B46292"/>
    <w:rsid w:val="00B47FD2"/>
    <w:rsid w:val="00CD0F93"/>
    <w:rsid w:val="00CF7283"/>
    <w:rsid w:val="00D053EE"/>
    <w:rsid w:val="00D6751D"/>
    <w:rsid w:val="00E12AB0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5F8BE-240F-45C4-BBB5-2C575B0C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FB60EF-A195-4BBA-B6FC-FE4AF229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</dc:creator>
  <cp:lastModifiedBy>DJBonani</cp:lastModifiedBy>
  <cp:revision>3</cp:revision>
  <dcterms:created xsi:type="dcterms:W3CDTF">2023-07-12T17:42:00Z</dcterms:created>
  <dcterms:modified xsi:type="dcterms:W3CDTF">2023-07-12T19:28:00Z</dcterms:modified>
</cp:coreProperties>
</file>