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5F" w:rsidRDefault="00C9745F" w:rsidP="00C9745F">
      <w:pPr>
        <w:pStyle w:val="NormalWeb"/>
        <w:spacing w:before="0" w:beforeAutospacing="0" w:after="0" w:afterAutospacing="0"/>
        <w:ind w:left="-2" w:hanging="2"/>
        <w:jc w:val="center"/>
      </w:pPr>
      <w:r>
        <w:rPr>
          <w:color w:val="000000"/>
          <w:sz w:val="20"/>
          <w:szCs w:val="20"/>
        </w:rPr>
        <w:t>Anais da 15ª Jornada Científica – Embrapa São Carlos – 22 de agosto de 2023</w:t>
      </w:r>
      <w:bookmarkStart w:id="0" w:name="_GoBack"/>
      <w:bookmarkEnd w:id="0"/>
    </w:p>
    <w:p w:rsidR="00C9745F" w:rsidRDefault="00C9745F" w:rsidP="00C9745F">
      <w:pPr>
        <w:pStyle w:val="NormalWeb"/>
        <w:pBdr>
          <w:bottom w:val="single" w:sz="4" w:space="1" w:color="000000"/>
        </w:pBdr>
        <w:spacing w:before="0" w:beforeAutospacing="0" w:after="0" w:afterAutospacing="0"/>
        <w:ind w:left="-2" w:hanging="2"/>
        <w:jc w:val="center"/>
      </w:pPr>
      <w:r>
        <w:rPr>
          <w:color w:val="000000"/>
          <w:sz w:val="20"/>
          <w:szCs w:val="20"/>
        </w:rPr>
        <w:t>Embrapa Instrumentação e Embrapa Pecuária Sudeste – São Carlos, SP - Brasil</w:t>
      </w:r>
    </w:p>
    <w:p w:rsidR="00C9745F" w:rsidRDefault="00C9745F" w:rsidP="00C9745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9745F" w:rsidRDefault="00C9745F" w:rsidP="00C9745F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Desenvolvimento de </w:t>
      </w:r>
      <w:proofErr w:type="spellStart"/>
      <w:r>
        <w:rPr>
          <w:b/>
          <w:bCs/>
          <w:color w:val="000000"/>
          <w:sz w:val="28"/>
          <w:szCs w:val="28"/>
        </w:rPr>
        <w:t>nanocompósitos</w:t>
      </w:r>
      <w:proofErr w:type="spellEnd"/>
      <w:r>
        <w:rPr>
          <w:b/>
          <w:bCs/>
          <w:color w:val="000000"/>
          <w:sz w:val="28"/>
          <w:szCs w:val="28"/>
        </w:rPr>
        <w:t xml:space="preserve"> de poliuretana com </w:t>
      </w:r>
      <w:proofErr w:type="spellStart"/>
      <w:r>
        <w:rPr>
          <w:b/>
          <w:bCs/>
          <w:color w:val="000000"/>
          <w:sz w:val="28"/>
          <w:szCs w:val="28"/>
        </w:rPr>
        <w:t>nitretos</w:t>
      </w:r>
      <w:proofErr w:type="spellEnd"/>
      <w:r>
        <w:rPr>
          <w:b/>
          <w:bCs/>
          <w:color w:val="000000"/>
          <w:sz w:val="28"/>
          <w:szCs w:val="28"/>
        </w:rPr>
        <w:t xml:space="preserve"> de carbono cristalinos para liberação controlada de nutrientes</w:t>
      </w:r>
    </w:p>
    <w:p w:rsidR="00C9745F" w:rsidRDefault="00C9745F" w:rsidP="00C9745F"/>
    <w:p w:rsidR="00C9745F" w:rsidRDefault="00C9745F" w:rsidP="00C9745F">
      <w:pPr>
        <w:pStyle w:val="NormalWeb"/>
        <w:spacing w:before="0" w:beforeAutospacing="0" w:after="0" w:afterAutospacing="0"/>
        <w:ind w:left="-1" w:hanging="1"/>
        <w:jc w:val="center"/>
      </w:pPr>
      <w:r>
        <w:rPr>
          <w:color w:val="000000"/>
          <w:sz w:val="22"/>
          <w:szCs w:val="22"/>
          <w:u w:val="single"/>
        </w:rPr>
        <w:t xml:space="preserve">Júlia </w:t>
      </w:r>
      <w:proofErr w:type="spellStart"/>
      <w:r>
        <w:rPr>
          <w:color w:val="000000"/>
          <w:sz w:val="22"/>
          <w:szCs w:val="22"/>
          <w:u w:val="single"/>
        </w:rPr>
        <w:t>Antoneli</w:t>
      </w:r>
      <w:proofErr w:type="spellEnd"/>
      <w:r>
        <w:rPr>
          <w:color w:val="000000"/>
          <w:sz w:val="22"/>
          <w:szCs w:val="22"/>
          <w:u w:val="single"/>
        </w:rPr>
        <w:t xml:space="preserve"> Ibanhes</w:t>
      </w:r>
      <w:r>
        <w:rPr>
          <w:color w:val="000000"/>
          <w:sz w:val="13"/>
          <w:szCs w:val="13"/>
          <w:u w:val="single"/>
          <w:vertAlign w:val="superscript"/>
        </w:rPr>
        <w:t>1</w:t>
      </w:r>
      <w:r>
        <w:rPr>
          <w:color w:val="000000"/>
          <w:sz w:val="22"/>
          <w:szCs w:val="22"/>
        </w:rPr>
        <w:t>; Guilherme F. S. R. Rocha</w:t>
      </w:r>
      <w:r>
        <w:rPr>
          <w:color w:val="000000"/>
          <w:sz w:val="13"/>
          <w:szCs w:val="13"/>
          <w:vertAlign w:val="superscript"/>
        </w:rPr>
        <w:t>2</w:t>
      </w:r>
      <w:r>
        <w:rPr>
          <w:color w:val="000000"/>
          <w:sz w:val="22"/>
          <w:szCs w:val="22"/>
        </w:rPr>
        <w:t>; Marcos A. R. da Silva</w:t>
      </w:r>
      <w:r>
        <w:rPr>
          <w:color w:val="000000"/>
          <w:sz w:val="13"/>
          <w:szCs w:val="13"/>
          <w:vertAlign w:val="superscript"/>
        </w:rPr>
        <w:t>3</w:t>
      </w:r>
      <w:r>
        <w:rPr>
          <w:color w:val="000000"/>
          <w:sz w:val="22"/>
          <w:szCs w:val="22"/>
        </w:rPr>
        <w:t>; Ivo F. Teixeira</w:t>
      </w:r>
      <w:r>
        <w:rPr>
          <w:color w:val="000000"/>
          <w:sz w:val="13"/>
          <w:szCs w:val="13"/>
          <w:vertAlign w:val="superscript"/>
        </w:rPr>
        <w:t>4</w:t>
      </w:r>
      <w:r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br/>
        <w:t>Ricardo Bortoletto-Santos</w:t>
      </w:r>
      <w:r>
        <w:rPr>
          <w:color w:val="000000"/>
          <w:sz w:val="13"/>
          <w:szCs w:val="13"/>
          <w:vertAlign w:val="superscript"/>
        </w:rPr>
        <w:t>5</w:t>
      </w:r>
      <w:r>
        <w:rPr>
          <w:color w:val="000000"/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Caue</w:t>
      </w:r>
      <w:proofErr w:type="spellEnd"/>
      <w:r>
        <w:rPr>
          <w:color w:val="000000"/>
          <w:sz w:val="22"/>
          <w:szCs w:val="22"/>
        </w:rPr>
        <w:t xml:space="preserve"> Ribeiro</w:t>
      </w:r>
      <w:r>
        <w:rPr>
          <w:color w:val="000000"/>
          <w:sz w:val="13"/>
          <w:szCs w:val="13"/>
          <w:vertAlign w:val="superscript"/>
        </w:rPr>
        <w:t>6</w:t>
      </w:r>
    </w:p>
    <w:p w:rsidR="00C9745F" w:rsidRDefault="00C9745F" w:rsidP="00C9745F">
      <w:pPr>
        <w:pStyle w:val="NormalWeb"/>
        <w:shd w:val="clear" w:color="auto" w:fill="FFFFFF"/>
        <w:spacing w:before="0" w:beforeAutospacing="0" w:after="0" w:afterAutospacing="0"/>
        <w:ind w:left="-1" w:hanging="1"/>
        <w:jc w:val="center"/>
      </w:pPr>
    </w:p>
    <w:p w:rsidR="00C9745F" w:rsidRDefault="00C9745F" w:rsidP="00C9745F">
      <w:pPr>
        <w:pStyle w:val="NormalWeb"/>
        <w:spacing w:before="0" w:beforeAutospacing="0" w:after="0" w:afterAutospacing="0"/>
        <w:ind w:left="-1" w:hanging="1"/>
        <w:jc w:val="both"/>
      </w:pPr>
      <w:r>
        <w:rPr>
          <w:color w:val="000000"/>
          <w:sz w:val="12"/>
          <w:szCs w:val="12"/>
          <w:vertAlign w:val="superscript"/>
        </w:rPr>
        <w:t xml:space="preserve">1 </w:t>
      </w:r>
      <w:r>
        <w:rPr>
          <w:color w:val="000000"/>
          <w:sz w:val="20"/>
          <w:szCs w:val="20"/>
        </w:rPr>
        <w:t>Aluna de graduação em Química, Universidade Federal de São Carlos (UFSCar), São Carlos, SP. Bolsista PIBIC/CNPq, Embrapa Instrumentação, São Carlos, SP; juliaantoneli@estudante.ufscar.br</w:t>
      </w:r>
    </w:p>
    <w:p w:rsidR="00C9745F" w:rsidRDefault="00C9745F" w:rsidP="00C9745F">
      <w:pPr>
        <w:pStyle w:val="NormalWeb"/>
        <w:spacing w:before="0" w:beforeAutospacing="0" w:after="0" w:afterAutospacing="0"/>
        <w:ind w:left="-1" w:hanging="1"/>
        <w:jc w:val="both"/>
      </w:pPr>
      <w:r>
        <w:rPr>
          <w:color w:val="000000"/>
          <w:sz w:val="12"/>
          <w:szCs w:val="12"/>
          <w:shd w:val="clear" w:color="auto" w:fill="FFFFFF"/>
          <w:vertAlign w:val="superscript"/>
        </w:rPr>
        <w:t>2</w:t>
      </w:r>
      <w:r>
        <w:rPr>
          <w:color w:val="000000"/>
          <w:sz w:val="20"/>
          <w:szCs w:val="20"/>
          <w:shd w:val="clear" w:color="auto" w:fill="FFFFFF"/>
        </w:rPr>
        <w:t xml:space="preserve"> Mestrado em</w:t>
      </w:r>
      <w:r>
        <w:rPr>
          <w:color w:val="000000"/>
          <w:sz w:val="20"/>
          <w:szCs w:val="20"/>
        </w:rPr>
        <w:t xml:space="preserve"> Química, Universidade Federal de São Carlos (UFSCar), São Carlos, SP.</w:t>
      </w:r>
    </w:p>
    <w:p w:rsidR="00C9745F" w:rsidRDefault="00C9745F" w:rsidP="00C9745F">
      <w:pPr>
        <w:pStyle w:val="NormalWeb"/>
        <w:spacing w:before="0" w:beforeAutospacing="0" w:after="0" w:afterAutospacing="0"/>
        <w:ind w:left="-1" w:hanging="1"/>
        <w:jc w:val="both"/>
      </w:pPr>
      <w:r>
        <w:rPr>
          <w:color w:val="000000"/>
          <w:sz w:val="12"/>
          <w:szCs w:val="12"/>
          <w:vertAlign w:val="superscript"/>
        </w:rPr>
        <w:t xml:space="preserve">3 </w:t>
      </w:r>
      <w:r>
        <w:rPr>
          <w:color w:val="000000"/>
          <w:sz w:val="20"/>
          <w:szCs w:val="20"/>
        </w:rPr>
        <w:t>Doutorado, Universidade Federal de São Carlos (UFSCar), São Carlos, SP. </w:t>
      </w:r>
    </w:p>
    <w:p w:rsidR="00C9745F" w:rsidRDefault="00C9745F" w:rsidP="00C9745F">
      <w:pPr>
        <w:pStyle w:val="NormalWeb"/>
        <w:spacing w:before="0" w:beforeAutospacing="0" w:after="0" w:afterAutospacing="0"/>
        <w:ind w:left="-1" w:hanging="1"/>
        <w:jc w:val="both"/>
      </w:pPr>
      <w:r>
        <w:rPr>
          <w:color w:val="000000"/>
          <w:sz w:val="12"/>
          <w:szCs w:val="12"/>
          <w:vertAlign w:val="superscript"/>
        </w:rPr>
        <w:t xml:space="preserve">4 </w:t>
      </w:r>
      <w:r>
        <w:rPr>
          <w:color w:val="000000"/>
          <w:sz w:val="20"/>
          <w:szCs w:val="20"/>
        </w:rPr>
        <w:t>Professor do Departamento de Química, Universidade Federal de São Carlos, São Carlos, SP.</w:t>
      </w:r>
    </w:p>
    <w:p w:rsidR="00C9745F" w:rsidRDefault="00C9745F" w:rsidP="00C9745F">
      <w:pPr>
        <w:pStyle w:val="NormalWeb"/>
        <w:spacing w:before="0" w:beforeAutospacing="0" w:after="0" w:afterAutospacing="0"/>
        <w:ind w:left="-1" w:hanging="1"/>
        <w:jc w:val="both"/>
      </w:pPr>
      <w:r>
        <w:rPr>
          <w:color w:val="000000"/>
          <w:sz w:val="12"/>
          <w:szCs w:val="12"/>
          <w:vertAlign w:val="superscript"/>
        </w:rPr>
        <w:t xml:space="preserve">5 </w:t>
      </w:r>
      <w:r>
        <w:rPr>
          <w:color w:val="000000"/>
          <w:sz w:val="20"/>
          <w:szCs w:val="20"/>
        </w:rPr>
        <w:t>Professor do Programa de pós-graduação em Tecnologia Ambiental, Universidade de Ribeirão Preto (UNAERP), Ribeirão Preto, SP.</w:t>
      </w:r>
    </w:p>
    <w:p w:rsidR="00C9745F" w:rsidRDefault="00C9745F" w:rsidP="00C9745F">
      <w:pPr>
        <w:pStyle w:val="NormalWeb"/>
        <w:spacing w:before="0" w:beforeAutospacing="0" w:after="0" w:afterAutospacing="0"/>
        <w:ind w:left="-1" w:hanging="1"/>
        <w:jc w:val="both"/>
      </w:pPr>
      <w:r>
        <w:rPr>
          <w:color w:val="000000"/>
          <w:sz w:val="12"/>
          <w:szCs w:val="12"/>
          <w:vertAlign w:val="superscript"/>
        </w:rPr>
        <w:t xml:space="preserve">6 </w:t>
      </w:r>
      <w:r>
        <w:rPr>
          <w:color w:val="000000"/>
          <w:sz w:val="20"/>
          <w:szCs w:val="20"/>
        </w:rPr>
        <w:t>Pesquisador da Embrapa Instrumentação, São Carlos, SP.</w:t>
      </w:r>
    </w:p>
    <w:p w:rsidR="00C9745F" w:rsidRDefault="00C9745F" w:rsidP="00C9745F">
      <w:pPr>
        <w:spacing w:after="240"/>
      </w:pPr>
    </w:p>
    <w:p w:rsidR="00C9745F" w:rsidRDefault="00C9745F" w:rsidP="00C9745F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 xml:space="preserve">Apesar do uso indispensável de fertilizantes agrícolas para atingir os níveis atuais de produtividade, os nutrientes químicos têm sua eficácia de uso limitada por problemas como volatilização de amônia, lixiviação e/ou imobilização nos solos. Uma estratégia para racionalização da aplicação é proteger o fertilizante com materiais poliméricos de revestimento, porém a eficiência da maioria dos produtos comercialmente disponíveis é limitada por uma atuação apenas como barreira física para liberação do insumo, em que a liberação é determinada pela fratura do revestimento. Para maximizar a efetividade dessa estratégia, o polímero formado deve ser capaz de controlar a difusão das espécies solúveis do insumo através de sua estrutura, permitindo que a barreira assuma um papel ativo e não somente a de um obstáculo físico. Dessa forma, </w:t>
      </w:r>
      <w:proofErr w:type="spellStart"/>
      <w:r>
        <w:rPr>
          <w:color w:val="000000"/>
        </w:rPr>
        <w:t>nitretos</w:t>
      </w:r>
      <w:proofErr w:type="spellEnd"/>
      <w:r>
        <w:rPr>
          <w:color w:val="000000"/>
        </w:rPr>
        <w:t xml:space="preserve"> de carbono finamente dispersos (na forma de </w:t>
      </w:r>
      <w:proofErr w:type="spellStart"/>
      <w:r>
        <w:rPr>
          <w:color w:val="000000"/>
        </w:rPr>
        <w:t>nanocompósitos</w:t>
      </w:r>
      <w:proofErr w:type="spellEnd"/>
      <w:r>
        <w:rPr>
          <w:color w:val="000000"/>
        </w:rPr>
        <w:t xml:space="preserve">) poderiam atuar como barreiras </w:t>
      </w:r>
      <w:proofErr w:type="spellStart"/>
      <w:r>
        <w:rPr>
          <w:color w:val="000000"/>
        </w:rPr>
        <w:t>difusionais</w:t>
      </w:r>
      <w:proofErr w:type="spellEnd"/>
      <w:r>
        <w:rPr>
          <w:color w:val="000000"/>
        </w:rPr>
        <w:t xml:space="preserve"> internas, reduzindo a espessura necessária para efetivo controle. Assim, esse trabalho estudou e desenvolveu </w:t>
      </w:r>
      <w:proofErr w:type="spellStart"/>
      <w:r>
        <w:rPr>
          <w:color w:val="000000"/>
        </w:rPr>
        <w:t>nanocompósitos</w:t>
      </w:r>
      <w:proofErr w:type="spellEnd"/>
      <w:r>
        <w:rPr>
          <w:color w:val="000000"/>
        </w:rPr>
        <w:t xml:space="preserve"> a partir da dispersão de </w:t>
      </w:r>
      <w:proofErr w:type="spellStart"/>
      <w:proofErr w:type="gramStart"/>
      <w:r>
        <w:rPr>
          <w:color w:val="000000"/>
        </w:rPr>
        <w:t>poly</w:t>
      </w:r>
      <w:proofErr w:type="spellEnd"/>
      <w:r>
        <w:rPr>
          <w:color w:val="000000"/>
        </w:rPr>
        <w:t>(</w:t>
      </w:r>
      <w:proofErr w:type="spellStart"/>
      <w:proofErr w:type="gramEnd"/>
      <w:r>
        <w:rPr>
          <w:color w:val="000000"/>
        </w:rPr>
        <w:t>heptazina</w:t>
      </w:r>
      <w:proofErr w:type="spellEnd"/>
      <w:r>
        <w:rPr>
          <w:color w:val="000000"/>
        </w:rPr>
        <w:t xml:space="preserve"> imida), em uma matriz de poliuretana (PU) à base de óleo de mamona, bem como avaliar o controle na liberação de ureia. O trabalho foi divido em três etapas: (i) preparação dos grânulos de ureia revestidos com PU em proporções de </w:t>
      </w:r>
      <w:proofErr w:type="spellStart"/>
      <w:proofErr w:type="gramStart"/>
      <w:r>
        <w:rPr>
          <w:color w:val="000000"/>
        </w:rPr>
        <w:t>poly</w:t>
      </w:r>
      <w:proofErr w:type="spellEnd"/>
      <w:r>
        <w:rPr>
          <w:color w:val="000000"/>
        </w:rPr>
        <w:t>(</w:t>
      </w:r>
      <w:proofErr w:type="spellStart"/>
      <w:proofErr w:type="gramEnd"/>
      <w:r>
        <w:rPr>
          <w:color w:val="000000"/>
        </w:rPr>
        <w:t>heptazina</w:t>
      </w:r>
      <w:proofErr w:type="spellEnd"/>
      <w:r>
        <w:rPr>
          <w:color w:val="000000"/>
        </w:rPr>
        <w:t xml:space="preserve"> imida); (</w:t>
      </w:r>
      <w:proofErr w:type="spellStart"/>
      <w:r>
        <w:rPr>
          <w:color w:val="000000"/>
        </w:rPr>
        <w:t>ii</w:t>
      </w:r>
      <w:proofErr w:type="spellEnd"/>
      <w:r>
        <w:rPr>
          <w:color w:val="000000"/>
        </w:rPr>
        <w:t xml:space="preserve">) caracterização e avaliação dos </w:t>
      </w:r>
      <w:proofErr w:type="spellStart"/>
      <w:r>
        <w:rPr>
          <w:color w:val="000000"/>
        </w:rPr>
        <w:t>nanocompósitos</w:t>
      </w:r>
      <w:proofErr w:type="spellEnd"/>
      <w:r>
        <w:rPr>
          <w:color w:val="000000"/>
        </w:rPr>
        <w:t xml:space="preserve"> preparados; (</w:t>
      </w:r>
      <w:proofErr w:type="spellStart"/>
      <w:r>
        <w:rPr>
          <w:color w:val="000000"/>
        </w:rPr>
        <w:t>iii</w:t>
      </w:r>
      <w:proofErr w:type="spellEnd"/>
      <w:r>
        <w:rPr>
          <w:color w:val="000000"/>
        </w:rPr>
        <w:t xml:space="preserve">) ensaio de liberação em água para avaliar a influência na liberação inicial de ureia. Os resultados de caracterização </w:t>
      </w:r>
      <w:proofErr w:type="gramStart"/>
      <w:r>
        <w:rPr>
          <w:color w:val="000000"/>
        </w:rPr>
        <w:t>demonstraram</w:t>
      </w:r>
      <w:proofErr w:type="gram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nanocompósitos</w:t>
      </w:r>
      <w:proofErr w:type="spellEnd"/>
      <w:r>
        <w:rPr>
          <w:color w:val="000000"/>
        </w:rPr>
        <w:t xml:space="preserve"> formou um filme uniforme e com boa interação com o fertilizante, permitindo obter recobrimentos com boa </w:t>
      </w:r>
      <w:proofErr w:type="spellStart"/>
      <w:r>
        <w:rPr>
          <w:color w:val="000000"/>
        </w:rPr>
        <w:t>adesividade</w:t>
      </w:r>
      <w:proofErr w:type="spellEnd"/>
      <w:r>
        <w:rPr>
          <w:color w:val="000000"/>
        </w:rPr>
        <w:t xml:space="preserve">. Também, a partir dos ensaios de liberação em água, os resultados mostraram que o uso de </w:t>
      </w:r>
      <w:proofErr w:type="spellStart"/>
      <w:r>
        <w:rPr>
          <w:color w:val="000000"/>
        </w:rPr>
        <w:t>nanocompósitos</w:t>
      </w:r>
      <w:proofErr w:type="spellEnd"/>
      <w:r>
        <w:rPr>
          <w:color w:val="000000"/>
        </w:rPr>
        <w:t xml:space="preserve"> de poliuretana contendo </w:t>
      </w:r>
      <w:proofErr w:type="spellStart"/>
      <w:proofErr w:type="gramStart"/>
      <w:r>
        <w:rPr>
          <w:color w:val="000000"/>
        </w:rPr>
        <w:t>poly</w:t>
      </w:r>
      <w:proofErr w:type="spellEnd"/>
      <w:r>
        <w:rPr>
          <w:color w:val="000000"/>
        </w:rPr>
        <w:t>(</w:t>
      </w:r>
      <w:proofErr w:type="spellStart"/>
      <w:proofErr w:type="gramEnd"/>
      <w:r>
        <w:rPr>
          <w:color w:val="000000"/>
        </w:rPr>
        <w:t>heptazina</w:t>
      </w:r>
      <w:proofErr w:type="spellEnd"/>
      <w:r>
        <w:rPr>
          <w:color w:val="000000"/>
        </w:rPr>
        <w:t xml:space="preserve"> imida) permitiu alterar o comportamento de liberação da ureia, mostrando que o revestimento possibilita a interação com o fertilizante e atua como barreira física.</w:t>
      </w:r>
    </w:p>
    <w:p w:rsidR="00C9745F" w:rsidRDefault="00C9745F" w:rsidP="00C9745F"/>
    <w:p w:rsidR="00C9745F" w:rsidRDefault="00C9745F" w:rsidP="00C9745F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Apoio financeiro:</w:t>
      </w:r>
      <w:r>
        <w:rPr>
          <w:color w:val="000000"/>
          <w:sz w:val="20"/>
          <w:szCs w:val="20"/>
        </w:rPr>
        <w:t xml:space="preserve"> CNPq, FAPESP, CAPES e Embrapa.</w:t>
      </w:r>
    </w:p>
    <w:p w:rsidR="00C9745F" w:rsidRDefault="00C9745F" w:rsidP="00C9745F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 xml:space="preserve">Área: </w:t>
      </w:r>
      <w:r>
        <w:rPr>
          <w:color w:val="000000"/>
          <w:sz w:val="20"/>
          <w:szCs w:val="20"/>
        </w:rPr>
        <w:t>Engenharias</w:t>
      </w:r>
    </w:p>
    <w:p w:rsidR="00C9745F" w:rsidRDefault="00C9745F" w:rsidP="00C9745F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Palavras-chave</w:t>
      </w:r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Nitreto</w:t>
      </w:r>
      <w:proofErr w:type="spellEnd"/>
      <w:r>
        <w:rPr>
          <w:color w:val="000000"/>
          <w:sz w:val="20"/>
          <w:szCs w:val="20"/>
        </w:rPr>
        <w:t xml:space="preserve"> de Carbono, </w:t>
      </w:r>
      <w:proofErr w:type="gramStart"/>
      <w:r>
        <w:rPr>
          <w:color w:val="000000"/>
          <w:sz w:val="20"/>
          <w:szCs w:val="20"/>
        </w:rPr>
        <w:t>Poli(</w:t>
      </w:r>
      <w:proofErr w:type="spellStart"/>
      <w:proofErr w:type="gramEnd"/>
      <w:r>
        <w:rPr>
          <w:color w:val="000000"/>
          <w:sz w:val="20"/>
          <w:szCs w:val="20"/>
        </w:rPr>
        <w:t>heptazina</w:t>
      </w:r>
      <w:proofErr w:type="spellEnd"/>
      <w:r>
        <w:rPr>
          <w:color w:val="000000"/>
          <w:sz w:val="20"/>
          <w:szCs w:val="20"/>
        </w:rPr>
        <w:t xml:space="preserve"> imida), Fertilizante, Liberação Controlada, Poliuretana.</w:t>
      </w:r>
    </w:p>
    <w:p w:rsidR="00C9745F" w:rsidRDefault="00C9745F" w:rsidP="00C9745F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 xml:space="preserve">Número Cadastro </w:t>
      </w:r>
      <w:proofErr w:type="spellStart"/>
      <w:r>
        <w:rPr>
          <w:b/>
          <w:bCs/>
          <w:color w:val="000000"/>
          <w:sz w:val="20"/>
          <w:szCs w:val="20"/>
        </w:rPr>
        <w:t>SisGen</w:t>
      </w:r>
      <w:proofErr w:type="spellEnd"/>
      <w:r>
        <w:rPr>
          <w:b/>
          <w:bCs/>
          <w:color w:val="000000"/>
          <w:sz w:val="20"/>
          <w:szCs w:val="20"/>
        </w:rPr>
        <w:t xml:space="preserve"> (se aplicável):</w:t>
      </w:r>
      <w:r>
        <w:rPr>
          <w:color w:val="000000"/>
          <w:sz w:val="20"/>
          <w:szCs w:val="20"/>
        </w:rPr>
        <w:t xml:space="preserve"> Não se aplica.</w:t>
      </w:r>
    </w:p>
    <w:p w:rsidR="00C9745F" w:rsidRDefault="00C9745F" w:rsidP="00C9745F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Comitê de Ética (se aplicável):</w:t>
      </w:r>
      <w:r>
        <w:rPr>
          <w:color w:val="000000"/>
          <w:sz w:val="20"/>
          <w:szCs w:val="20"/>
        </w:rPr>
        <w:t xml:space="preserve"> Não se aplica.</w:t>
      </w:r>
    </w:p>
    <w:p w:rsidR="001F2F8E" w:rsidRDefault="00C9745F" w:rsidP="00C9745F">
      <w:r>
        <w:rPr>
          <w:b/>
          <w:bCs/>
          <w:color w:val="000000"/>
          <w:sz w:val="20"/>
          <w:szCs w:val="20"/>
        </w:rPr>
        <w:t xml:space="preserve">N. do Processo PIBIC/PIBIT (se aplicável): </w:t>
      </w:r>
      <w:r>
        <w:rPr>
          <w:color w:val="000000"/>
          <w:sz w:val="20"/>
          <w:szCs w:val="20"/>
        </w:rPr>
        <w:t>138.558/2022-1</w:t>
      </w:r>
    </w:p>
    <w:sectPr w:rsidR="001F2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5F"/>
    <w:rsid w:val="001F2F8E"/>
    <w:rsid w:val="00322ABC"/>
    <w:rsid w:val="003927DE"/>
    <w:rsid w:val="00C9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FFE4"/>
  <w15:chartTrackingRefBased/>
  <w15:docId w15:val="{962F9535-92D7-4AB0-8247-E7F72B6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2023-07-14T12:16:00Z</dcterms:created>
  <dcterms:modified xsi:type="dcterms:W3CDTF">2023-07-14T12:18:00Z</dcterms:modified>
</cp:coreProperties>
</file>