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D5F1" w14:textId="306B7533" w:rsidR="005F26BC" w:rsidRDefault="005F26BC" w:rsidP="005F26BC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5644F0">
        <w:rPr>
          <w:rFonts w:ascii="Times New Roman" w:hAnsi="Times New Roman" w:cs="Times New Roman"/>
          <w:b/>
          <w:snapToGrid w:val="0"/>
          <w:sz w:val="28"/>
        </w:rPr>
        <w:t>Análise comparativa entre uma equação de predição de NDT e a D</w:t>
      </w:r>
      <w:r w:rsidRPr="00845968">
        <w:rPr>
          <w:rFonts w:ascii="Times New Roman" w:hAnsi="Times New Roman" w:cs="Times New Roman"/>
          <w:b/>
          <w:i/>
          <w:iCs/>
          <w:snapToGrid w:val="0"/>
          <w:sz w:val="28"/>
        </w:rPr>
        <w:t>IV</w:t>
      </w:r>
      <w:r w:rsidRPr="005644F0">
        <w:rPr>
          <w:rFonts w:ascii="Times New Roman" w:hAnsi="Times New Roman" w:cs="Times New Roman"/>
          <w:b/>
          <w:snapToGrid w:val="0"/>
          <w:sz w:val="28"/>
        </w:rPr>
        <w:t>MS de</w:t>
      </w:r>
      <w:r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B24FB4">
        <w:rPr>
          <w:rFonts w:ascii="Times New Roman" w:hAnsi="Times New Roman" w:cs="Times New Roman"/>
          <w:b/>
          <w:snapToGrid w:val="0"/>
          <w:sz w:val="28"/>
        </w:rPr>
        <w:t>gramíneas</w:t>
      </w:r>
      <w:r w:rsidRPr="005644F0">
        <w:rPr>
          <w:rFonts w:ascii="Times New Roman" w:hAnsi="Times New Roman" w:cs="Times New Roman"/>
          <w:b/>
          <w:snapToGrid w:val="0"/>
          <w:sz w:val="28"/>
        </w:rPr>
        <w:t xml:space="preserve"> utilizadas para a alimentação animal</w:t>
      </w:r>
    </w:p>
    <w:p w14:paraId="293D6428" w14:textId="77777777" w:rsidR="005F26BC" w:rsidRPr="00BD05B9" w:rsidRDefault="005F26BC" w:rsidP="005F26BC">
      <w:pPr>
        <w:ind w:firstLine="0"/>
        <w:jc w:val="both"/>
        <w:rPr>
          <w:rFonts w:ascii="Times New Roman" w:hAnsi="Times New Roman" w:cs="Times New Roman"/>
          <w:snapToGrid w:val="0"/>
          <w:sz w:val="28"/>
        </w:rPr>
      </w:pPr>
    </w:p>
    <w:p w14:paraId="333811B2" w14:textId="77777777" w:rsidR="005F26BC" w:rsidRPr="00032D85" w:rsidRDefault="005F26BC" w:rsidP="005F26BC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B45086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Rafaela Vechi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Althieres José Furtado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Adibe Luiz Abdalla Filho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Avelardo Urano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Sérgio Raposo de Medeiros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090BB83A" w14:textId="77777777" w:rsidR="005F26BC" w:rsidRPr="002E0A8D" w:rsidRDefault="005F26BC" w:rsidP="005F26BC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</w:rPr>
        <w:t>Patrícia Perondi Anchão Oliveira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21A74564" w14:textId="77777777" w:rsidR="005F26BC" w:rsidRPr="00F61E4E" w:rsidRDefault="005F26BC" w:rsidP="005F26BC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291DC946" w14:textId="77777777" w:rsidR="005F26BC" w:rsidRPr="006C71FE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SP, netopasquini@alumni.usp.br</w:t>
      </w:r>
    </w:p>
    <w:p w14:paraId="76BF41E4" w14:textId="77777777" w:rsidR="005F26BC" w:rsidRPr="006C71FE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Médica Veterinária, UEL, Londrina, PR;</w:t>
      </w:r>
    </w:p>
    <w:p w14:paraId="224FC243" w14:textId="77777777" w:rsidR="005F26BC" w:rsidRPr="006C71FE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Pirassununga, SP;</w:t>
      </w:r>
    </w:p>
    <w:p w14:paraId="68DC56AF" w14:textId="77777777" w:rsidR="005F26BC" w:rsidRPr="006C71FE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Pós doutorando</w:t>
      </w:r>
      <w:r>
        <w:rPr>
          <w:rFonts w:ascii="Times New Roman" w:hAnsi="Times New Roman" w:cs="Times New Roman"/>
          <w:snapToGrid w:val="0"/>
          <w:sz w:val="20"/>
          <w:szCs w:val="20"/>
        </w:rPr>
        <w:t>, FMVZ/USP, Pirassununga, SP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67F66950" w14:textId="77777777" w:rsidR="005F26BC" w:rsidRPr="006C71FE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Analista da Embrapa Pecuária Sudeste, São Carlos, SP.</w:t>
      </w:r>
    </w:p>
    <w:p w14:paraId="733317EC" w14:textId="77777777" w:rsidR="005F26BC" w:rsidRPr="00430A62" w:rsidRDefault="005F26BC" w:rsidP="005F26B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Pesquisador (a) da Embrapa Pecuária Sudeste, São Carlos, SP.</w:t>
      </w:r>
    </w:p>
    <w:p w14:paraId="0A29AE3A" w14:textId="77777777" w:rsidR="005F26BC" w:rsidRPr="00F61E4E" w:rsidRDefault="005F26BC" w:rsidP="005F26BC">
      <w:pPr>
        <w:jc w:val="both"/>
        <w:rPr>
          <w:rFonts w:ascii="Times New Roman" w:hAnsi="Times New Roman" w:cs="Times New Roman"/>
        </w:rPr>
      </w:pPr>
    </w:p>
    <w:p w14:paraId="7C0D9359" w14:textId="77777777" w:rsidR="005F26BC" w:rsidRDefault="005F26BC" w:rsidP="005F26BC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604C60">
        <w:rPr>
          <w:rFonts w:ascii="Times New Roman" w:hAnsi="Times New Roman"/>
          <w:snapToGrid w:val="0"/>
        </w:rPr>
        <w:t xml:space="preserve">A determinação da composição bromatológica dos alimentos é fundamental e várias técnicas laboratoriais e métodos alternativos, assim como modelos matemáticos, têm sido desenvolvidos ao longo dos anos para a </w:t>
      </w:r>
      <w:r>
        <w:rPr>
          <w:rFonts w:ascii="Times New Roman" w:hAnsi="Times New Roman"/>
          <w:snapToGrid w:val="0"/>
        </w:rPr>
        <w:t xml:space="preserve">melhor </w:t>
      </w:r>
      <w:r w:rsidRPr="00604C60">
        <w:rPr>
          <w:rFonts w:ascii="Times New Roman" w:hAnsi="Times New Roman"/>
          <w:snapToGrid w:val="0"/>
        </w:rPr>
        <w:t>caracterização d</w:t>
      </w:r>
      <w:r>
        <w:rPr>
          <w:rFonts w:ascii="Times New Roman" w:hAnsi="Times New Roman"/>
          <w:snapToGrid w:val="0"/>
        </w:rPr>
        <w:t>as</w:t>
      </w:r>
      <w:r w:rsidRPr="00604C60">
        <w:rPr>
          <w:rFonts w:ascii="Times New Roman" w:hAnsi="Times New Roman"/>
          <w:snapToGrid w:val="0"/>
        </w:rPr>
        <w:t xml:space="preserve"> dietas </w:t>
      </w:r>
      <w:r>
        <w:rPr>
          <w:rFonts w:ascii="Times New Roman" w:hAnsi="Times New Roman"/>
          <w:snapToGrid w:val="0"/>
        </w:rPr>
        <w:t xml:space="preserve">fornecidas aos </w:t>
      </w:r>
      <w:r w:rsidRPr="00604C60">
        <w:rPr>
          <w:rFonts w:ascii="Times New Roman" w:hAnsi="Times New Roman"/>
          <w:snapToGrid w:val="0"/>
        </w:rPr>
        <w:t>animais.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 xml:space="preserve">No entanto, o grau variável de precisão e exatidão dos métodos analíticos demonstram a dificuldade em avaliar de forma integrada os valores nutritivos obtidos ou estimados por estes procedimentos. Neste sentido, </w:t>
      </w:r>
      <w:r>
        <w:rPr>
          <w:rFonts w:ascii="Times New Roman" w:hAnsi="Times New Roman"/>
          <w:snapToGrid w:val="0"/>
        </w:rPr>
        <w:t>a</w:t>
      </w:r>
      <w:r w:rsidRPr="008D5580">
        <w:rPr>
          <w:rFonts w:ascii="Times New Roman" w:hAnsi="Times New Roman"/>
          <w:snapToGrid w:val="0"/>
        </w:rPr>
        <w:t xml:space="preserve">s técnicas de </w:t>
      </w:r>
      <w:r w:rsidRPr="00987D95">
        <w:rPr>
          <w:rFonts w:ascii="Times New Roman" w:hAnsi="Times New Roman"/>
          <w:snapToGrid w:val="0"/>
        </w:rPr>
        <w:t xml:space="preserve">digestibilidade </w:t>
      </w:r>
      <w:r w:rsidRPr="00204E1B">
        <w:rPr>
          <w:rFonts w:ascii="Times New Roman" w:hAnsi="Times New Roman"/>
          <w:i/>
          <w:iCs/>
          <w:snapToGrid w:val="0"/>
        </w:rPr>
        <w:t>in vitro</w:t>
      </w:r>
      <w:r w:rsidRPr="00987D95">
        <w:rPr>
          <w:rFonts w:ascii="Times New Roman" w:hAnsi="Times New Roman"/>
          <w:snapToGrid w:val="0"/>
        </w:rPr>
        <w:t xml:space="preserve"> da matéria seca (D</w:t>
      </w:r>
      <w:r w:rsidRPr="00204E1B">
        <w:rPr>
          <w:rFonts w:ascii="Times New Roman" w:hAnsi="Times New Roman"/>
          <w:i/>
          <w:iCs/>
          <w:snapToGrid w:val="0"/>
        </w:rPr>
        <w:t>IV</w:t>
      </w:r>
      <w:r w:rsidRPr="00987D95">
        <w:rPr>
          <w:rFonts w:ascii="Times New Roman" w:hAnsi="Times New Roman"/>
          <w:snapToGrid w:val="0"/>
        </w:rPr>
        <w:t xml:space="preserve">MS) </w:t>
      </w:r>
      <w:r w:rsidRPr="008D5580">
        <w:rPr>
          <w:rFonts w:ascii="Times New Roman" w:hAnsi="Times New Roman"/>
          <w:snapToGrid w:val="0"/>
        </w:rPr>
        <w:t xml:space="preserve">melhor representam </w:t>
      </w:r>
      <w:r>
        <w:rPr>
          <w:rFonts w:ascii="Times New Roman" w:hAnsi="Times New Roman"/>
          <w:snapToGrid w:val="0"/>
        </w:rPr>
        <w:t xml:space="preserve">esta integração </w:t>
      </w:r>
      <w:r w:rsidRPr="008D5580">
        <w:rPr>
          <w:rFonts w:ascii="Times New Roman" w:hAnsi="Times New Roman"/>
          <w:snapToGrid w:val="0"/>
        </w:rPr>
        <w:t xml:space="preserve">devido à alta correlação com dados </w:t>
      </w:r>
      <w:r w:rsidRPr="00AD29B0">
        <w:rPr>
          <w:rFonts w:ascii="Times New Roman" w:hAnsi="Times New Roman"/>
          <w:i/>
          <w:iCs/>
          <w:snapToGrid w:val="0"/>
        </w:rPr>
        <w:t>in vivo</w:t>
      </w:r>
      <w:r w:rsidRPr="008D5580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O</w:t>
      </w:r>
      <w:r w:rsidRPr="00987D95">
        <w:rPr>
          <w:rFonts w:ascii="Times New Roman" w:hAnsi="Times New Roman"/>
          <w:snapToGrid w:val="0"/>
        </w:rPr>
        <w:t xml:space="preserve"> objetivo deste trabalho foi comparar o valor de nutrientes digestíveis totais (NDT) estimado através de um modelo matemático com a D</w:t>
      </w:r>
      <w:r w:rsidRPr="00204E1B">
        <w:rPr>
          <w:rFonts w:ascii="Times New Roman" w:hAnsi="Times New Roman"/>
          <w:i/>
          <w:iCs/>
          <w:snapToGrid w:val="0"/>
        </w:rPr>
        <w:t>IV</w:t>
      </w:r>
      <w:r w:rsidRPr="00987D95">
        <w:rPr>
          <w:rFonts w:ascii="Times New Roman" w:hAnsi="Times New Roman"/>
          <w:snapToGrid w:val="0"/>
        </w:rPr>
        <w:t xml:space="preserve">MS obtida </w:t>
      </w:r>
      <w:r>
        <w:rPr>
          <w:rFonts w:ascii="Times New Roman" w:hAnsi="Times New Roman"/>
          <w:snapToGrid w:val="0"/>
        </w:rPr>
        <w:t xml:space="preserve">por </w:t>
      </w:r>
      <w:r w:rsidRPr="00987D95">
        <w:rPr>
          <w:rFonts w:ascii="Times New Roman" w:hAnsi="Times New Roman"/>
          <w:snapToGrid w:val="0"/>
        </w:rPr>
        <w:t>método analítico</w:t>
      </w:r>
      <w:r>
        <w:rPr>
          <w:rFonts w:ascii="Times New Roman" w:hAnsi="Times New Roman"/>
          <w:snapToGrid w:val="0"/>
        </w:rPr>
        <w:t xml:space="preserve"> em</w:t>
      </w:r>
      <w:r w:rsidRPr="00987D95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amostras de </w:t>
      </w:r>
      <w:r w:rsidRPr="00987D95">
        <w:rPr>
          <w:rFonts w:ascii="Times New Roman" w:hAnsi="Times New Roman"/>
          <w:snapToGrid w:val="0"/>
        </w:rPr>
        <w:t xml:space="preserve">diferentes </w:t>
      </w:r>
      <w:r>
        <w:rPr>
          <w:rFonts w:ascii="Times New Roman" w:hAnsi="Times New Roman"/>
          <w:snapToGrid w:val="0"/>
        </w:rPr>
        <w:t>gramíneas</w:t>
      </w:r>
      <w:r w:rsidRPr="00987D95">
        <w:rPr>
          <w:rFonts w:ascii="Times New Roman" w:hAnsi="Times New Roman"/>
          <w:snapToGrid w:val="0"/>
        </w:rPr>
        <w:t xml:space="preserve">, durante o período de setembro de 2019 a setembro de 2021, na Embrapa Pecuária Sudeste, em São Carlos, SP. </w:t>
      </w:r>
      <w:r>
        <w:rPr>
          <w:rFonts w:ascii="Times New Roman" w:hAnsi="Times New Roman"/>
          <w:snapToGrid w:val="0"/>
        </w:rPr>
        <w:t xml:space="preserve">Para isso, duas subamostras de </w:t>
      </w:r>
      <w:r w:rsidRPr="00197641">
        <w:rPr>
          <w:rFonts w:ascii="Times New Roman" w:hAnsi="Times New Roman"/>
          <w:i/>
          <w:iCs/>
          <w:snapToGrid w:val="0"/>
        </w:rPr>
        <w:t>Megathyrsus</w:t>
      </w:r>
      <w:r w:rsidRPr="00197641">
        <w:rPr>
          <w:rFonts w:ascii="Times New Roman" w:hAnsi="Times New Roman"/>
          <w:snapToGrid w:val="0"/>
        </w:rPr>
        <w:t xml:space="preserve"> (syn. </w:t>
      </w:r>
      <w:r w:rsidRPr="00197641">
        <w:rPr>
          <w:rFonts w:ascii="Times New Roman" w:hAnsi="Times New Roman"/>
          <w:i/>
          <w:iCs/>
          <w:snapToGrid w:val="0"/>
        </w:rPr>
        <w:t>Panicum</w:t>
      </w:r>
      <w:r w:rsidRPr="00197641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 e</w:t>
      </w:r>
      <w:r w:rsidRPr="00197641">
        <w:rPr>
          <w:rFonts w:ascii="Times New Roman" w:hAnsi="Times New Roman"/>
          <w:snapToGrid w:val="0"/>
        </w:rPr>
        <w:t xml:space="preserve"> </w:t>
      </w:r>
      <w:r w:rsidRPr="00197641">
        <w:rPr>
          <w:rFonts w:ascii="Times New Roman" w:hAnsi="Times New Roman"/>
          <w:i/>
          <w:iCs/>
          <w:snapToGrid w:val="0"/>
        </w:rPr>
        <w:t>Urochloa</w:t>
      </w:r>
      <w:r w:rsidRPr="00197641">
        <w:rPr>
          <w:rFonts w:ascii="Times New Roman" w:hAnsi="Times New Roman"/>
          <w:snapToGrid w:val="0"/>
        </w:rPr>
        <w:t xml:space="preserve"> (syn. </w:t>
      </w:r>
      <w:r w:rsidRPr="00197641">
        <w:rPr>
          <w:rFonts w:ascii="Times New Roman" w:hAnsi="Times New Roman"/>
          <w:i/>
          <w:iCs/>
          <w:snapToGrid w:val="0"/>
        </w:rPr>
        <w:t>Brachiaria</w:t>
      </w:r>
      <w:r w:rsidRPr="00197641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 foram separadamente coletadas </w:t>
      </w:r>
      <w:r w:rsidRPr="00987D95">
        <w:rPr>
          <w:rFonts w:ascii="Times New Roman" w:hAnsi="Times New Roman"/>
          <w:snapToGrid w:val="0"/>
        </w:rPr>
        <w:t xml:space="preserve">e homogeneizadas </w:t>
      </w:r>
      <w:r>
        <w:rPr>
          <w:rFonts w:ascii="Times New Roman" w:hAnsi="Times New Roman"/>
          <w:snapToGrid w:val="0"/>
        </w:rPr>
        <w:t xml:space="preserve">em intervalos regulares de 18 dias, </w:t>
      </w:r>
      <w:r w:rsidRPr="00987D95">
        <w:rPr>
          <w:rFonts w:ascii="Times New Roman" w:hAnsi="Times New Roman"/>
          <w:snapToGrid w:val="0"/>
        </w:rPr>
        <w:t xml:space="preserve">de acordo com as estações do ano para </w:t>
      </w:r>
      <w:r>
        <w:rPr>
          <w:rFonts w:ascii="Times New Roman" w:hAnsi="Times New Roman"/>
          <w:snapToGrid w:val="0"/>
        </w:rPr>
        <w:t xml:space="preserve">posteriores </w:t>
      </w:r>
      <w:r w:rsidRPr="00987D95">
        <w:rPr>
          <w:rFonts w:ascii="Times New Roman" w:hAnsi="Times New Roman"/>
          <w:snapToGrid w:val="0"/>
        </w:rPr>
        <w:t>análise</w:t>
      </w:r>
      <w:r>
        <w:rPr>
          <w:rFonts w:ascii="Times New Roman" w:hAnsi="Times New Roman"/>
          <w:snapToGrid w:val="0"/>
        </w:rPr>
        <w:t>s</w:t>
      </w:r>
      <w:r w:rsidRPr="00987D95">
        <w:rPr>
          <w:rFonts w:ascii="Times New Roman" w:hAnsi="Times New Roman"/>
          <w:snapToGrid w:val="0"/>
        </w:rPr>
        <w:t xml:space="preserve"> bromatológica</w:t>
      </w:r>
      <w:r>
        <w:rPr>
          <w:rFonts w:ascii="Times New Roman" w:hAnsi="Times New Roman"/>
          <w:snapToGrid w:val="0"/>
        </w:rPr>
        <w:t xml:space="preserve">s. </w:t>
      </w:r>
      <w:r w:rsidRPr="00987D95">
        <w:rPr>
          <w:rFonts w:ascii="Times New Roman" w:hAnsi="Times New Roman"/>
          <w:snapToGrid w:val="0"/>
        </w:rPr>
        <w:t>O valor de NDT dos alimentos foi obtido pela equação de WEISS</w:t>
      </w:r>
      <w:r>
        <w:rPr>
          <w:rFonts w:ascii="Times New Roman" w:hAnsi="Times New Roman"/>
          <w:snapToGrid w:val="0"/>
        </w:rPr>
        <w:t>;</w:t>
      </w:r>
      <w:r w:rsidRPr="00987D95">
        <w:rPr>
          <w:rFonts w:ascii="Times New Roman" w:hAnsi="Times New Roman"/>
          <w:snapToGrid w:val="0"/>
        </w:rPr>
        <w:t xml:space="preserve"> enquanto o valor d</w:t>
      </w:r>
      <w:r>
        <w:rPr>
          <w:rFonts w:ascii="Times New Roman" w:hAnsi="Times New Roman"/>
          <w:snapToGrid w:val="0"/>
        </w:rPr>
        <w:t>e</w:t>
      </w:r>
      <w:r w:rsidRPr="00987D95">
        <w:rPr>
          <w:rFonts w:ascii="Times New Roman" w:hAnsi="Times New Roman"/>
          <w:snapToGrid w:val="0"/>
        </w:rPr>
        <w:t xml:space="preserve"> D</w:t>
      </w:r>
      <w:r w:rsidRPr="005A1968">
        <w:rPr>
          <w:rFonts w:ascii="Times New Roman" w:hAnsi="Times New Roman"/>
          <w:i/>
          <w:iCs/>
          <w:snapToGrid w:val="0"/>
        </w:rPr>
        <w:t>IV</w:t>
      </w:r>
      <w:r w:rsidRPr="00987D95">
        <w:rPr>
          <w:rFonts w:ascii="Times New Roman" w:hAnsi="Times New Roman"/>
          <w:snapToGrid w:val="0"/>
        </w:rPr>
        <w:t>MS foi baseado na análise de espectroscopia de infravermelho próximo (NIRS), modelo NIRFlex N-500 Solids (BÜCHI, Flawil, São Galo, Suíça, SWI) com calibração desenvolvida e validada. Os dados de NDT foram submetidos à análise de correlação linear com os dados de D</w:t>
      </w:r>
      <w:r w:rsidRPr="002077BB">
        <w:rPr>
          <w:rFonts w:ascii="Times New Roman" w:hAnsi="Times New Roman"/>
          <w:i/>
          <w:iCs/>
          <w:snapToGrid w:val="0"/>
        </w:rPr>
        <w:t>IV</w:t>
      </w:r>
      <w:r w:rsidRPr="00987D95">
        <w:rPr>
          <w:rFonts w:ascii="Times New Roman" w:hAnsi="Times New Roman"/>
          <w:snapToGrid w:val="0"/>
        </w:rPr>
        <w:t>MS pelo teste de Pearson (P &lt; 0,0</w:t>
      </w:r>
      <w:r>
        <w:rPr>
          <w:rFonts w:ascii="Times New Roman" w:hAnsi="Times New Roman"/>
          <w:snapToGrid w:val="0"/>
        </w:rPr>
        <w:t>1</w:t>
      </w:r>
      <w:r w:rsidRPr="00987D95">
        <w:rPr>
          <w:rFonts w:ascii="Times New Roman" w:hAnsi="Times New Roman"/>
          <w:snapToGrid w:val="0"/>
        </w:rPr>
        <w:t>), utilizando o PROC CORR do software SAS</w:t>
      </w:r>
      <w:r>
        <w:rPr>
          <w:rFonts w:ascii="Times New Roman" w:hAnsi="Times New Roman"/>
          <w:snapToGrid w:val="0"/>
        </w:rPr>
        <w:t xml:space="preserve"> </w:t>
      </w:r>
      <w:r w:rsidRPr="00545F82">
        <w:rPr>
          <w:rFonts w:ascii="Times New Roman" w:hAnsi="Times New Roman"/>
          <w:snapToGrid w:val="0"/>
        </w:rPr>
        <w:t>(SAS Institute Inc., Cary, NC, USA)</w:t>
      </w:r>
      <w:r w:rsidRPr="00987D95">
        <w:rPr>
          <w:rFonts w:ascii="Times New Roman" w:hAnsi="Times New Roman"/>
          <w:snapToGrid w:val="0"/>
        </w:rPr>
        <w:t xml:space="preserve">. Considerando </w:t>
      </w:r>
      <w:r>
        <w:rPr>
          <w:rFonts w:ascii="Times New Roman" w:hAnsi="Times New Roman"/>
          <w:snapToGrid w:val="0"/>
        </w:rPr>
        <w:t>os coeficientes de</w:t>
      </w:r>
      <w:r w:rsidRPr="00987D95">
        <w:rPr>
          <w:rFonts w:ascii="Times New Roman" w:hAnsi="Times New Roman"/>
          <w:snapToGrid w:val="0"/>
        </w:rPr>
        <w:t xml:space="preserve"> correlaç</w:t>
      </w:r>
      <w:r>
        <w:rPr>
          <w:rFonts w:ascii="Times New Roman" w:hAnsi="Times New Roman"/>
          <w:snapToGrid w:val="0"/>
        </w:rPr>
        <w:t>ão</w:t>
      </w:r>
      <w:r w:rsidRPr="00987D95">
        <w:rPr>
          <w:rFonts w:ascii="Times New Roman" w:hAnsi="Times New Roman"/>
          <w:snapToGrid w:val="0"/>
        </w:rPr>
        <w:t xml:space="preserve"> entre NDT e D</w:t>
      </w:r>
      <w:r w:rsidRPr="002077BB">
        <w:rPr>
          <w:rFonts w:ascii="Times New Roman" w:hAnsi="Times New Roman"/>
          <w:i/>
          <w:iCs/>
          <w:snapToGrid w:val="0"/>
        </w:rPr>
        <w:t>IV</w:t>
      </w:r>
      <w:r w:rsidRPr="00987D95">
        <w:rPr>
          <w:rFonts w:ascii="Times New Roman" w:hAnsi="Times New Roman"/>
          <w:snapToGrid w:val="0"/>
        </w:rPr>
        <w:t>MS das pastagens, foi observado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 xml:space="preserve">uma relação positiva forte para </w:t>
      </w:r>
      <w:r w:rsidRPr="00197641">
        <w:rPr>
          <w:rFonts w:ascii="Times New Roman" w:hAnsi="Times New Roman"/>
          <w:i/>
          <w:iCs/>
          <w:snapToGrid w:val="0"/>
        </w:rPr>
        <w:t>Urochloa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 (r = 0,8267; P &lt; 0,0001), </w:t>
      </w:r>
      <w:r w:rsidRPr="00987D95">
        <w:rPr>
          <w:rFonts w:ascii="Times New Roman" w:hAnsi="Times New Roman"/>
          <w:snapToGrid w:val="0"/>
        </w:rPr>
        <w:t xml:space="preserve">enquanto </w:t>
      </w:r>
      <w:r>
        <w:rPr>
          <w:rFonts w:ascii="Times New Roman" w:hAnsi="Times New Roman"/>
          <w:snapToGrid w:val="0"/>
        </w:rPr>
        <w:t xml:space="preserve">houve uma relação negativa moderada para </w:t>
      </w:r>
      <w:r w:rsidRPr="00197641">
        <w:rPr>
          <w:rFonts w:ascii="Times New Roman" w:hAnsi="Times New Roman"/>
          <w:i/>
          <w:iCs/>
          <w:snapToGrid w:val="0"/>
        </w:rPr>
        <w:t>Megathyrsus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 (r = -0,3640; P = 0,8432</w:t>
      </w:r>
      <w:r w:rsidRPr="007519B7">
        <w:rPr>
          <w:rFonts w:ascii="Times New Roman" w:hAnsi="Times New Roman"/>
          <w:snapToGrid w:val="0"/>
        </w:rPr>
        <w:t>).</w:t>
      </w:r>
      <w:r>
        <w:rPr>
          <w:rFonts w:ascii="Times New Roman" w:hAnsi="Times New Roman"/>
          <w:snapToGrid w:val="0"/>
        </w:rPr>
        <w:t xml:space="preserve"> A correlação significativa (P &lt; 0,01) observada na pastagem de </w:t>
      </w:r>
      <w:r w:rsidRPr="00197641">
        <w:rPr>
          <w:rFonts w:ascii="Times New Roman" w:hAnsi="Times New Roman"/>
          <w:i/>
          <w:iCs/>
          <w:snapToGrid w:val="0"/>
        </w:rPr>
        <w:t>Urochloa</w:t>
      </w:r>
      <w:r>
        <w:rPr>
          <w:rFonts w:ascii="Times New Roman" w:hAnsi="Times New Roman"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 permite concluir que a equação </w:t>
      </w:r>
      <w:r w:rsidRPr="00987D95">
        <w:rPr>
          <w:rFonts w:ascii="Times New Roman" w:hAnsi="Times New Roman"/>
          <w:snapToGrid w:val="0"/>
        </w:rPr>
        <w:t>de WEIS</w:t>
      </w:r>
      <w:r>
        <w:rPr>
          <w:rFonts w:ascii="Times New Roman" w:hAnsi="Times New Roman"/>
          <w:snapToGrid w:val="0"/>
        </w:rPr>
        <w:t xml:space="preserve"> foi capaz de melhor estimar o valor energético do alimento, </w:t>
      </w:r>
      <w:r w:rsidRPr="00F96BAD">
        <w:rPr>
          <w:rFonts w:ascii="Times New Roman" w:hAnsi="Times New Roman"/>
          <w:snapToGrid w:val="0"/>
        </w:rPr>
        <w:t xml:space="preserve">no qual possui um banco de dados robusto e um </w:t>
      </w:r>
      <w:r>
        <w:rPr>
          <w:rFonts w:ascii="Times New Roman" w:hAnsi="Times New Roman"/>
          <w:snapToGrid w:val="0"/>
        </w:rPr>
        <w:t>coeficiente de determinação (</w:t>
      </w:r>
      <w:r w:rsidRPr="00F96BAD">
        <w:rPr>
          <w:rFonts w:ascii="Times New Roman" w:hAnsi="Times New Roman"/>
          <w:snapToGrid w:val="0"/>
        </w:rPr>
        <w:t>r²</w:t>
      </w:r>
      <w:r>
        <w:rPr>
          <w:rFonts w:ascii="Times New Roman" w:hAnsi="Times New Roman"/>
          <w:snapToGrid w:val="0"/>
        </w:rPr>
        <w:t>)</w:t>
      </w:r>
      <w:r w:rsidRPr="00F96BAD">
        <w:rPr>
          <w:rFonts w:ascii="Times New Roman" w:hAnsi="Times New Roman"/>
          <w:snapToGrid w:val="0"/>
        </w:rPr>
        <w:t xml:space="preserve"> elevado para todos os compostos bromatológicos</w:t>
      </w:r>
      <w:r>
        <w:rPr>
          <w:rFonts w:ascii="Times New Roman" w:hAnsi="Times New Roman"/>
          <w:snapToGrid w:val="0"/>
        </w:rPr>
        <w:t xml:space="preserve"> que fazem parte do banco de dados da Embrapa Pecuária Sudeste. Para a pastagem de </w:t>
      </w:r>
      <w:r w:rsidRPr="00197641">
        <w:rPr>
          <w:rFonts w:ascii="Times New Roman" w:hAnsi="Times New Roman"/>
          <w:i/>
          <w:iCs/>
          <w:snapToGrid w:val="0"/>
        </w:rPr>
        <w:t>Megathyrsus</w:t>
      </w:r>
      <w:r>
        <w:rPr>
          <w:rFonts w:ascii="Times New Roman" w:hAnsi="Times New Roman"/>
          <w:i/>
          <w:iCs/>
          <w:snapToGrid w:val="0"/>
        </w:rPr>
        <w:t xml:space="preserve"> </w:t>
      </w:r>
      <w:r w:rsidRPr="00987D95">
        <w:rPr>
          <w:rFonts w:ascii="Times New Roman" w:hAnsi="Times New Roman"/>
          <w:snapToGrid w:val="0"/>
        </w:rPr>
        <w:t>s</w:t>
      </w:r>
      <w:r>
        <w:rPr>
          <w:rFonts w:ascii="Times New Roman" w:hAnsi="Times New Roman"/>
          <w:snapToGrid w:val="0"/>
        </w:rPr>
        <w:t>p</w:t>
      </w:r>
      <w:r w:rsidRPr="00987D95">
        <w:rPr>
          <w:rFonts w:ascii="Times New Roman" w:hAnsi="Times New Roman"/>
          <w:snapToGrid w:val="0"/>
        </w:rPr>
        <w:t>p.</w:t>
      </w:r>
      <w:r>
        <w:rPr>
          <w:rFonts w:ascii="Times New Roman" w:hAnsi="Times New Roman"/>
          <w:snapToGrid w:val="0"/>
        </w:rPr>
        <w:t xml:space="preserve">, pode-se concluir que a equação </w:t>
      </w:r>
      <w:r w:rsidRPr="00987D95">
        <w:rPr>
          <w:rFonts w:ascii="Times New Roman" w:hAnsi="Times New Roman"/>
          <w:snapToGrid w:val="0"/>
        </w:rPr>
        <w:t>de WEIS</w:t>
      </w:r>
      <w:r>
        <w:rPr>
          <w:rFonts w:ascii="Times New Roman" w:hAnsi="Times New Roman"/>
          <w:snapToGrid w:val="0"/>
        </w:rPr>
        <w:t xml:space="preserve"> está superestimando o valor energético do alimento, possivelmente pela grande variação nos valores dos parâmetros de composição bromatológica desta espécie.</w:t>
      </w:r>
    </w:p>
    <w:p w14:paraId="2FDACAF3" w14:textId="77777777" w:rsidR="005F26BC" w:rsidRDefault="005F26BC" w:rsidP="005F26BC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77A88B70" w14:textId="77777777" w:rsidR="005F26BC" w:rsidRPr="00726732" w:rsidRDefault="005F26BC" w:rsidP="005F26BC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17FA4C9D" w14:textId="77777777" w:rsidR="005F26BC" w:rsidRPr="006D2DC4" w:rsidRDefault="005F26BC" w:rsidP="005F26BC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Apoio financeiro:</w:t>
      </w:r>
      <w:r w:rsidRPr="006D2DC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FAPESP </w:t>
      </w:r>
      <w:r w:rsidRPr="006D7342">
        <w:rPr>
          <w:rFonts w:ascii="Times New Roman" w:hAnsi="Times New Roman"/>
          <w:sz w:val="20"/>
        </w:rPr>
        <w:t>(2017/20084-5</w:t>
      </w:r>
      <w:r>
        <w:rPr>
          <w:rFonts w:ascii="Times New Roman" w:hAnsi="Times New Roman"/>
          <w:sz w:val="20"/>
        </w:rPr>
        <w:t>;</w:t>
      </w:r>
      <w:r w:rsidRPr="009325CD">
        <w:t xml:space="preserve"> </w:t>
      </w:r>
      <w:r w:rsidRPr="009325CD">
        <w:rPr>
          <w:rFonts w:ascii="Times New Roman" w:hAnsi="Times New Roman"/>
          <w:sz w:val="20"/>
        </w:rPr>
        <w:t>2022/08165-8</w:t>
      </w:r>
      <w:r w:rsidRPr="006D7342">
        <w:rPr>
          <w:rFonts w:ascii="Times New Roman" w:hAnsi="Times New Roman"/>
          <w:sz w:val="20"/>
        </w:rPr>
        <w:t>)</w:t>
      </w:r>
    </w:p>
    <w:p w14:paraId="7859DF80" w14:textId="77777777" w:rsidR="005F26BC" w:rsidRPr="006D2DC4" w:rsidRDefault="005F26BC" w:rsidP="005F26BC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 xml:space="preserve">Área: </w:t>
      </w:r>
      <w:r>
        <w:rPr>
          <w:rFonts w:ascii="Times New Roman" w:hAnsi="Times New Roman"/>
          <w:sz w:val="20"/>
        </w:rPr>
        <w:t>Nutrição Animal</w:t>
      </w:r>
    </w:p>
    <w:p w14:paraId="3072DB97" w14:textId="037AA9F9" w:rsidR="00F61E4E" w:rsidRPr="005F26BC" w:rsidRDefault="005F26BC" w:rsidP="005F26BC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Palavras-chave</w:t>
      </w:r>
      <w:r w:rsidRPr="006D2DC4">
        <w:rPr>
          <w:rFonts w:ascii="Times New Roman" w:hAnsi="Times New Roman"/>
          <w:sz w:val="20"/>
        </w:rPr>
        <w:t xml:space="preserve">: </w:t>
      </w:r>
      <w:r w:rsidRPr="00AC2C6E">
        <w:rPr>
          <w:rFonts w:ascii="Times New Roman" w:hAnsi="Times New Roman"/>
          <w:sz w:val="20"/>
        </w:rPr>
        <w:t xml:space="preserve">Nutrição Animal; </w:t>
      </w:r>
      <w:r>
        <w:rPr>
          <w:rFonts w:ascii="Times New Roman" w:hAnsi="Times New Roman"/>
          <w:sz w:val="20"/>
        </w:rPr>
        <w:t>q</w:t>
      </w:r>
      <w:r w:rsidRPr="00AC2C6E">
        <w:rPr>
          <w:rFonts w:ascii="Times New Roman" w:hAnsi="Times New Roman"/>
          <w:sz w:val="20"/>
        </w:rPr>
        <w:t>ualidade da alimentação</w:t>
      </w:r>
      <w:r w:rsidRPr="006D2DC4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c</w:t>
      </w:r>
      <w:r w:rsidRPr="00CD4EB5">
        <w:rPr>
          <w:rFonts w:ascii="Times New Roman" w:hAnsi="Times New Roman"/>
          <w:sz w:val="20"/>
        </w:rPr>
        <w:t xml:space="preserve">omposição </w:t>
      </w:r>
      <w:r>
        <w:rPr>
          <w:rFonts w:ascii="Times New Roman" w:hAnsi="Times New Roman"/>
          <w:sz w:val="20"/>
        </w:rPr>
        <w:t>bromatológica</w:t>
      </w:r>
      <w:r w:rsidRPr="006D2DC4">
        <w:rPr>
          <w:rFonts w:ascii="Times New Roman" w:hAnsi="Times New Roman"/>
          <w:sz w:val="20"/>
        </w:rPr>
        <w:t>.</w:t>
      </w:r>
    </w:p>
    <w:sectPr w:rsidR="00F61E4E" w:rsidRPr="005F26BC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C32C" w14:textId="77777777" w:rsidR="00A72748" w:rsidRDefault="00A72748" w:rsidP="00E12AB0">
      <w:r>
        <w:separator/>
      </w:r>
    </w:p>
  </w:endnote>
  <w:endnote w:type="continuationSeparator" w:id="0">
    <w:p w14:paraId="5057A5F6" w14:textId="77777777" w:rsidR="00A72748" w:rsidRDefault="00A7274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F9E0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2F47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5607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CDD8" w14:textId="77777777" w:rsidR="00A72748" w:rsidRDefault="00A72748" w:rsidP="00E12AB0">
      <w:r>
        <w:separator/>
      </w:r>
    </w:p>
  </w:footnote>
  <w:footnote w:type="continuationSeparator" w:id="0">
    <w:p w14:paraId="35BFE2A3" w14:textId="77777777" w:rsidR="00A72748" w:rsidRDefault="00A7274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F092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F844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15C44C5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70E9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2B6C6D"/>
    <w:rsid w:val="002C0BD5"/>
    <w:rsid w:val="002E0A8D"/>
    <w:rsid w:val="003477EB"/>
    <w:rsid w:val="00484063"/>
    <w:rsid w:val="005112AA"/>
    <w:rsid w:val="0057319E"/>
    <w:rsid w:val="005F26BC"/>
    <w:rsid w:val="006D42E4"/>
    <w:rsid w:val="00785A21"/>
    <w:rsid w:val="008D1B21"/>
    <w:rsid w:val="00A72748"/>
    <w:rsid w:val="00B24FB4"/>
    <w:rsid w:val="00B46292"/>
    <w:rsid w:val="00B47FD2"/>
    <w:rsid w:val="00CA1C9B"/>
    <w:rsid w:val="00CD0F93"/>
    <w:rsid w:val="00CF7283"/>
    <w:rsid w:val="00D053EE"/>
    <w:rsid w:val="00D6751D"/>
    <w:rsid w:val="00E12AB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5500"/>
  <w15:docId w15:val="{6B873D3E-40C5-42D1-90E2-1B245F28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Adibe Luiz Abdalla Filho</cp:lastModifiedBy>
  <cp:revision>3</cp:revision>
  <dcterms:created xsi:type="dcterms:W3CDTF">2023-07-14T16:51:00Z</dcterms:created>
  <dcterms:modified xsi:type="dcterms:W3CDTF">2023-07-14T16:54:00Z</dcterms:modified>
</cp:coreProperties>
</file>